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8" w:rsidRDefault="0080544F" w:rsidP="00563148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¡Guardar</w:t>
      </w:r>
      <w:bookmarkStart w:id="0" w:name="_GoBack"/>
      <w:bookmarkEnd w:id="0"/>
      <w:r w:rsidR="00563148"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D139A6" w:rsidRPr="00A0487A" w:rsidRDefault="00D139A6" w:rsidP="00D139A6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D139A6" w:rsidRPr="00A0487A" w:rsidRDefault="00D139A6" w:rsidP="00D139A6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D139A6" w:rsidRDefault="00D139A6" w:rsidP="00D139A6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financiera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39A6" w:rsidTr="00D139A6">
        <w:tc>
          <w:tcPr>
            <w:tcW w:w="4322" w:type="dxa"/>
          </w:tcPr>
          <w:p w:rsidR="00D139A6" w:rsidRPr="00D139A6" w:rsidRDefault="00D139A6">
            <w:pPr>
              <w:rPr>
                <w:b/>
              </w:rPr>
            </w:pPr>
            <w:r w:rsidRPr="00D139A6">
              <w:rPr>
                <w:b/>
              </w:rPr>
              <w:t>EN</w:t>
            </w:r>
          </w:p>
        </w:tc>
        <w:tc>
          <w:tcPr>
            <w:tcW w:w="4322" w:type="dxa"/>
          </w:tcPr>
          <w:p w:rsidR="00D139A6" w:rsidRPr="00D139A6" w:rsidRDefault="00D139A6">
            <w:pPr>
              <w:rPr>
                <w:b/>
              </w:rPr>
            </w:pPr>
            <w:r w:rsidRPr="00D139A6">
              <w:rPr>
                <w:b/>
              </w:rPr>
              <w:t>Traducción</w:t>
            </w:r>
          </w:p>
        </w:tc>
      </w:tr>
      <w:tr w:rsidR="00D139A6" w:rsidTr="00D139A6">
        <w:tc>
          <w:tcPr>
            <w:tcW w:w="4322" w:type="dxa"/>
          </w:tcPr>
          <w:p w:rsidR="008F634A" w:rsidRPr="008F634A" w:rsidRDefault="00FF7930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>
              <w:rPr>
                <w:rFonts w:cs="Bembo"/>
                <w:sz w:val="23"/>
                <w:szCs w:val="23"/>
              </w:rPr>
              <w:t>*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Financial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adaptability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comes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from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several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sources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,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including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the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ability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8F634A">
              <w:rPr>
                <w:rFonts w:cs="Bembo"/>
                <w:sz w:val="23"/>
                <w:szCs w:val="23"/>
              </w:rPr>
              <w:t>to</w:t>
            </w:r>
            <w:proofErr w:type="spellEnd"/>
            <w:r w:rsidR="008F634A" w:rsidRPr="008F634A">
              <w:rPr>
                <w:rFonts w:cs="Bembo"/>
                <w:sz w:val="23"/>
                <w:szCs w:val="23"/>
              </w:rPr>
              <w:t>:</w:t>
            </w:r>
          </w:p>
          <w:p w:rsidR="008F634A" w:rsidRPr="008F634A" w:rsidRDefault="008F634A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 w:rsidRPr="008F634A">
              <w:rPr>
                <w:rFonts w:cs="Bembo"/>
                <w:sz w:val="23"/>
                <w:szCs w:val="23"/>
              </w:rPr>
              <w:t xml:space="preserve">(a)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raise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new capital,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perhaps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by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issuing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debt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securities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, at short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notice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>;</w:t>
            </w:r>
          </w:p>
          <w:p w:rsidR="008F634A" w:rsidRPr="008F634A" w:rsidRDefault="008F634A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 w:rsidRPr="008F634A">
              <w:rPr>
                <w:rFonts w:cs="Bembo"/>
                <w:sz w:val="23"/>
                <w:szCs w:val="23"/>
              </w:rPr>
              <w:t xml:space="preserve">(b)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repay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capital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or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debt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at short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notice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>;</w:t>
            </w:r>
          </w:p>
          <w:p w:rsidR="008F634A" w:rsidRPr="008F634A" w:rsidRDefault="008F634A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 w:rsidRPr="008F634A">
              <w:rPr>
                <w:rFonts w:cs="Bembo"/>
                <w:sz w:val="23"/>
                <w:szCs w:val="23"/>
              </w:rPr>
              <w:t xml:space="preserve">(c)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obtain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cash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by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selling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assets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without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disrupting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continuing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operations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>; and</w:t>
            </w:r>
          </w:p>
          <w:p w:rsidR="00D139A6" w:rsidRDefault="008F634A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 w:rsidRPr="008F634A">
              <w:rPr>
                <w:rFonts w:cs="Bembo"/>
                <w:sz w:val="23"/>
                <w:szCs w:val="23"/>
              </w:rPr>
              <w:t xml:space="preserve">(d)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achieve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a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rapid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improvement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in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net cash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inflows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generated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by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8F634A">
              <w:rPr>
                <w:rFonts w:cs="Bembo"/>
                <w:sz w:val="23"/>
                <w:szCs w:val="23"/>
              </w:rPr>
              <w:t>operations</w:t>
            </w:r>
            <w:proofErr w:type="spellEnd"/>
            <w:r w:rsidRPr="008F634A">
              <w:rPr>
                <w:rFonts w:cs="Bembo"/>
                <w:sz w:val="23"/>
                <w:szCs w:val="23"/>
              </w:rPr>
              <w:t>.</w:t>
            </w:r>
          </w:p>
          <w:p w:rsidR="008F634A" w:rsidRDefault="008F634A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</w:p>
          <w:p w:rsidR="008F634A" w:rsidRPr="00FF7930" w:rsidRDefault="00FF7930" w:rsidP="00FF7930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>
              <w:rPr>
                <w:rFonts w:cs="Bembo"/>
                <w:sz w:val="23"/>
                <w:szCs w:val="23"/>
              </w:rPr>
              <w:t>*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All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Liquidity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Facilities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includes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: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Term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Auction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primary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secondary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seasonal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Primary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 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Dealer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Facility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Asset-Backed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Commercial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Paper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Money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Market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Mutual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Fund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Liquidity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Facility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Term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Asset-Backed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Securities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Loan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Facility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Commercial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Paper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Funding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Facility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; and central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bank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="008F634A" w:rsidRPr="00FF7930">
              <w:rPr>
                <w:rFonts w:cs="Bembo"/>
                <w:sz w:val="23"/>
                <w:szCs w:val="23"/>
              </w:rPr>
              <w:t>liquidity</w:t>
            </w:r>
            <w:proofErr w:type="spellEnd"/>
            <w:r w:rsidR="008F634A" w:rsidRPr="00FF7930">
              <w:rPr>
                <w:rFonts w:cs="Bembo"/>
                <w:sz w:val="23"/>
                <w:szCs w:val="23"/>
              </w:rPr>
              <w:t xml:space="preserve"> swaps.</w:t>
            </w:r>
          </w:p>
          <w:p w:rsidR="00FF7930" w:rsidRDefault="00FF7930" w:rsidP="008F634A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</w:p>
          <w:p w:rsidR="00FF7930" w:rsidRDefault="00FF7930" w:rsidP="00FF7930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>
              <w:rPr>
                <w:rFonts w:cs="Bembo"/>
                <w:sz w:val="23"/>
                <w:szCs w:val="23"/>
              </w:rPr>
              <w:t>*</w:t>
            </w:r>
            <w:r w:rsidRPr="00FF7930">
              <w:rPr>
                <w:rFonts w:cs="Bembo"/>
                <w:sz w:val="23"/>
                <w:szCs w:val="23"/>
              </w:rPr>
              <w:t xml:space="preserve">PDCF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credit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was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fully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secured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by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collateral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with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appropriate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haircuts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>--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that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is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,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value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collateral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exceeded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value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loan extended.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Initially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,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eligible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collateral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was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restricted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to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investment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-grade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securities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. In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September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2008,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eligible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set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collateral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was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broadened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to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closely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match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types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instruments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that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can be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pledged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in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tri-party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repurchase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agreement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systems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two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major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clearing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banks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>.</w:t>
            </w:r>
          </w:p>
          <w:p w:rsidR="00FF7930" w:rsidRDefault="00FF7930" w:rsidP="00FF7930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</w:p>
          <w:p w:rsidR="00FF7930" w:rsidRPr="00FF7930" w:rsidRDefault="00FF7930" w:rsidP="00FF7930">
            <w:pPr>
              <w:autoSpaceDE w:val="0"/>
              <w:autoSpaceDN w:val="0"/>
              <w:adjustRightInd w:val="0"/>
              <w:jc w:val="both"/>
              <w:rPr>
                <w:rFonts w:cs="Bembo"/>
                <w:sz w:val="23"/>
                <w:szCs w:val="23"/>
              </w:rPr>
            </w:pPr>
            <w:r>
              <w:rPr>
                <w:rFonts w:cs="Bembo"/>
                <w:sz w:val="23"/>
                <w:szCs w:val="23"/>
              </w:rPr>
              <w:t>*</w:t>
            </w:r>
            <w: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Since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beginning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financial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market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turmoil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in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August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2007,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Federal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Reserve's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balance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sheet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has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grown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in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size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and has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changed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in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composition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. Total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assets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of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the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Federal Reserve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have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increased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significantly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from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$869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billion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on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August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8, 2007,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to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well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over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 xml:space="preserve"> $2 </w:t>
            </w:r>
            <w:proofErr w:type="spellStart"/>
            <w:r w:rsidRPr="00FF7930">
              <w:rPr>
                <w:rFonts w:cs="Bembo"/>
                <w:sz w:val="23"/>
                <w:szCs w:val="23"/>
              </w:rPr>
              <w:t>trillion</w:t>
            </w:r>
            <w:proofErr w:type="spellEnd"/>
            <w:r w:rsidRPr="00FF7930">
              <w:rPr>
                <w:rFonts w:cs="Bembo"/>
                <w:sz w:val="23"/>
                <w:szCs w:val="23"/>
              </w:rPr>
              <w:t>.</w:t>
            </w:r>
          </w:p>
        </w:tc>
        <w:tc>
          <w:tcPr>
            <w:tcW w:w="4322" w:type="dxa"/>
          </w:tcPr>
          <w:p w:rsidR="00D139A6" w:rsidRDefault="00D139A6"/>
        </w:tc>
      </w:tr>
    </w:tbl>
    <w:p w:rsidR="00267AE4" w:rsidRDefault="00267AE4"/>
    <w:sectPr w:rsidR="00267AE4" w:rsidSect="00045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00"/>
    <w:multiLevelType w:val="hybridMultilevel"/>
    <w:tmpl w:val="689245EE"/>
    <w:lvl w:ilvl="0" w:tplc="1EFACD8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2421"/>
    <w:multiLevelType w:val="hybridMultilevel"/>
    <w:tmpl w:val="9640B0CE"/>
    <w:lvl w:ilvl="0" w:tplc="101ECD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embo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39A6"/>
    <w:rsid w:val="00045015"/>
    <w:rsid w:val="00267AE4"/>
    <w:rsid w:val="00563148"/>
    <w:rsid w:val="0080544F"/>
    <w:rsid w:val="008F634A"/>
    <w:rsid w:val="00D139A6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5</cp:revision>
  <dcterms:created xsi:type="dcterms:W3CDTF">2014-04-25T06:30:00Z</dcterms:created>
  <dcterms:modified xsi:type="dcterms:W3CDTF">2015-04-28T08:33:00Z</dcterms:modified>
</cp:coreProperties>
</file>