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9F" w:rsidRDefault="0068580D" w:rsidP="00AE6A9F">
      <w:pPr>
        <w:jc w:val="center"/>
        <w:rPr>
          <w:rFonts w:ascii="Calibri" w:hAnsi="Calibri"/>
          <w:b/>
          <w:color w:val="FF0000"/>
          <w:lang w:val="it-IT"/>
        </w:rPr>
      </w:pPr>
      <w:r>
        <w:rPr>
          <w:rFonts w:ascii="Calibri" w:hAnsi="Calibri"/>
          <w:b/>
          <w:color w:val="FF0000"/>
          <w:lang w:val="it-IT"/>
        </w:rPr>
        <w:t>¡Guardar</w:t>
      </w:r>
      <w:r w:rsidR="00AE6A9F">
        <w:rPr>
          <w:rFonts w:ascii="Calibri" w:hAnsi="Calibri"/>
          <w:b/>
          <w:color w:val="FF0000"/>
          <w:lang w:val="it-IT"/>
        </w:rPr>
        <w:t xml:space="preserve"> el documento añadiendo su nombre y apellidos!</w:t>
      </w:r>
    </w:p>
    <w:p w:rsidR="00FF55DD" w:rsidRPr="00A0487A" w:rsidRDefault="00FF55DD" w:rsidP="00FF55DD">
      <w:pPr>
        <w:rPr>
          <w:rFonts w:ascii="Calibri" w:hAnsi="Calibri"/>
          <w:b/>
          <w:lang w:val="it-IT"/>
        </w:rPr>
      </w:pPr>
      <w:r w:rsidRPr="00A0487A">
        <w:rPr>
          <w:rFonts w:ascii="Calibri" w:hAnsi="Calibri"/>
          <w:b/>
          <w:lang w:val="it-IT"/>
        </w:rPr>
        <w:t>Nombre del traductor:</w:t>
      </w:r>
    </w:p>
    <w:p w:rsidR="00FF55DD" w:rsidRPr="00A0487A" w:rsidRDefault="00FF55DD" w:rsidP="00FF55DD">
      <w:pPr>
        <w:rPr>
          <w:rFonts w:ascii="Calibri" w:hAnsi="Calibri"/>
          <w:b/>
          <w:lang w:val="it-IT"/>
        </w:rPr>
      </w:pPr>
      <w:r w:rsidRPr="00A0487A">
        <w:rPr>
          <w:rFonts w:ascii="Calibri" w:hAnsi="Calibri"/>
          <w:b/>
          <w:lang w:val="it-IT"/>
        </w:rPr>
        <w:t>Mail del traductor:</w:t>
      </w:r>
    </w:p>
    <w:p w:rsidR="00FF55DD" w:rsidRPr="00A0487A" w:rsidRDefault="00FF55DD" w:rsidP="00FF55DD">
      <w:pPr>
        <w:rPr>
          <w:rFonts w:ascii="Calibri" w:hAnsi="Calibri"/>
          <w:b/>
          <w:lang w:val="it-IT"/>
        </w:rPr>
      </w:pPr>
      <w:r w:rsidRPr="00A0487A">
        <w:rPr>
          <w:rFonts w:ascii="Calibri" w:hAnsi="Calibri"/>
          <w:b/>
          <w:lang w:val="it-IT"/>
        </w:rPr>
        <w:t xml:space="preserve">Prueba </w:t>
      </w:r>
      <w:r>
        <w:rPr>
          <w:rFonts w:ascii="Calibri" w:hAnsi="Calibri"/>
          <w:b/>
          <w:lang w:val="it-IT"/>
        </w:rPr>
        <w:t>científica</w:t>
      </w:r>
    </w:p>
    <w:tbl>
      <w:tblPr>
        <w:tblStyle w:val="Tablaconcuadrcula"/>
        <w:tblW w:w="0" w:type="auto"/>
        <w:tblLook w:val="04A0" w:firstRow="1" w:lastRow="0" w:firstColumn="1" w:lastColumn="0" w:noHBand="0" w:noVBand="1"/>
      </w:tblPr>
      <w:tblGrid>
        <w:gridCol w:w="4322"/>
        <w:gridCol w:w="4322"/>
      </w:tblGrid>
      <w:tr w:rsidR="00FF55DD" w:rsidTr="00FF55DD">
        <w:tc>
          <w:tcPr>
            <w:tcW w:w="4322" w:type="dxa"/>
          </w:tcPr>
          <w:p w:rsidR="00537749" w:rsidRPr="00DA5D89" w:rsidRDefault="00C70FCC" w:rsidP="00DA5D89">
            <w:pPr>
              <w:jc w:val="both"/>
              <w:rPr>
                <w:rFonts w:cstheme="minorHAnsi"/>
                <w:b/>
                <w:color w:val="1F1E1D"/>
                <w:sz w:val="14"/>
                <w:szCs w:val="14"/>
              </w:rPr>
            </w:pPr>
            <w:r w:rsidRPr="00DA5D89">
              <w:rPr>
                <w:rFonts w:cstheme="minorHAnsi"/>
                <w:b/>
                <w:color w:val="1F1E1D"/>
                <w:sz w:val="14"/>
                <w:szCs w:val="14"/>
              </w:rPr>
              <w:t>ES</w:t>
            </w:r>
          </w:p>
        </w:tc>
        <w:tc>
          <w:tcPr>
            <w:tcW w:w="4322" w:type="dxa"/>
          </w:tcPr>
          <w:p w:rsidR="00FF55DD" w:rsidRDefault="008A6B3A" w:rsidP="00443F81">
            <w:pPr>
              <w:rPr>
                <w:rFonts w:ascii="Verdana" w:hAnsi="Verdana"/>
                <w:color w:val="1F1E1D"/>
                <w:sz w:val="14"/>
                <w:szCs w:val="14"/>
              </w:rPr>
            </w:pPr>
            <w:r w:rsidRPr="007545D4">
              <w:rPr>
                <w:b/>
              </w:rPr>
              <w:t>Traducción</w:t>
            </w:r>
          </w:p>
        </w:tc>
      </w:tr>
      <w:tr w:rsidR="00FF55DD" w:rsidTr="00FF55DD">
        <w:tc>
          <w:tcPr>
            <w:tcW w:w="4322" w:type="dxa"/>
          </w:tcPr>
          <w:p w:rsidR="00537749" w:rsidRPr="00DA5D89" w:rsidRDefault="00537749" w:rsidP="00DA5D89">
            <w:pPr>
              <w:jc w:val="both"/>
              <w:rPr>
                <w:rFonts w:cstheme="minorHAnsi"/>
                <w:sz w:val="14"/>
                <w:szCs w:val="14"/>
              </w:rPr>
            </w:pPr>
          </w:p>
          <w:p w:rsidR="00FF55DD" w:rsidRPr="00DA5D89" w:rsidRDefault="00C70FCC" w:rsidP="00BF06E8">
            <w:pPr>
              <w:spacing w:after="200" w:line="276" w:lineRule="auto"/>
              <w:jc w:val="both"/>
              <w:rPr>
                <w:rFonts w:cstheme="minorHAnsi"/>
                <w:sz w:val="20"/>
                <w:szCs w:val="20"/>
              </w:rPr>
            </w:pPr>
            <w:r w:rsidRPr="00DA5D89">
              <w:rPr>
                <w:rFonts w:cstheme="minorHAnsi"/>
                <w:sz w:val="20"/>
                <w:szCs w:val="20"/>
              </w:rPr>
              <w:t xml:space="preserve">Aunque las infecciones bacterianas ocurren tan solo en el 9%  de los casos, ahora un grupo de investigadores liderado por Liliana </w:t>
            </w:r>
            <w:proofErr w:type="spellStart"/>
            <w:r w:rsidRPr="00DA5D89">
              <w:rPr>
                <w:rFonts w:cstheme="minorHAnsi"/>
                <w:sz w:val="20"/>
                <w:szCs w:val="20"/>
              </w:rPr>
              <w:t>D'Alba</w:t>
            </w:r>
            <w:proofErr w:type="spellEnd"/>
            <w:r w:rsidRPr="00DA5D89">
              <w:rPr>
                <w:rFonts w:cstheme="minorHAnsi"/>
                <w:sz w:val="20"/>
                <w:szCs w:val="20"/>
              </w:rPr>
              <w:t xml:space="preserve">, de la Universidad de Akron (Ohio), ha hallado el porqué de dicho fenómeno. Según publican en la revista </w:t>
            </w:r>
            <w:proofErr w:type="spellStart"/>
            <w:r w:rsidR="00FF55DD" w:rsidRPr="000953CD">
              <w:rPr>
                <w:rFonts w:cstheme="minorHAnsi"/>
                <w:i/>
                <w:iCs/>
                <w:sz w:val="20"/>
                <w:szCs w:val="20"/>
              </w:rPr>
              <w:t>Journal</w:t>
            </w:r>
            <w:proofErr w:type="spellEnd"/>
            <w:r w:rsidR="00FF55DD" w:rsidRPr="000953CD">
              <w:rPr>
                <w:rFonts w:cstheme="minorHAnsi"/>
                <w:i/>
                <w:iCs/>
                <w:sz w:val="20"/>
                <w:szCs w:val="20"/>
              </w:rPr>
              <w:t xml:space="preserve"> of Experimental </w:t>
            </w:r>
            <w:proofErr w:type="spellStart"/>
            <w:r w:rsidR="00FF55DD" w:rsidRPr="000953CD">
              <w:rPr>
                <w:rFonts w:cstheme="minorHAnsi"/>
                <w:i/>
                <w:iCs/>
                <w:sz w:val="20"/>
                <w:szCs w:val="20"/>
              </w:rPr>
              <w:t>Biology</w:t>
            </w:r>
            <w:proofErr w:type="spellEnd"/>
            <w:r w:rsidRPr="00DA5D89">
              <w:rPr>
                <w:rFonts w:cstheme="minorHAnsi"/>
                <w:sz w:val="20"/>
                <w:szCs w:val="20"/>
              </w:rPr>
              <w:t xml:space="preserve">, la cáscara de los huevos de pavo de matorral está cubierta por una capa de esferas de tamaño </w:t>
            </w:r>
            <w:proofErr w:type="spellStart"/>
            <w:r w:rsidRPr="00DA5D89">
              <w:rPr>
                <w:rFonts w:cstheme="minorHAnsi"/>
                <w:sz w:val="20"/>
                <w:szCs w:val="20"/>
              </w:rPr>
              <w:t>nanométrico</w:t>
            </w:r>
            <w:proofErr w:type="spellEnd"/>
            <w:r w:rsidRPr="00DA5D89">
              <w:rPr>
                <w:rFonts w:cstheme="minorHAnsi"/>
                <w:sz w:val="20"/>
                <w:szCs w:val="20"/>
              </w:rPr>
              <w:t xml:space="preserve"> formadas por fosfato de calcio. Este material la vuelve más impermeable, por lo que la defiende de un posible ataque patógeno.</w:t>
            </w:r>
          </w:p>
          <w:p w:rsidR="00537749" w:rsidRPr="00DA5D89" w:rsidRDefault="00537749" w:rsidP="00DA5D89">
            <w:pPr>
              <w:jc w:val="both"/>
              <w:rPr>
                <w:rFonts w:cstheme="minorHAnsi"/>
                <w:sz w:val="20"/>
                <w:szCs w:val="20"/>
              </w:rPr>
            </w:pPr>
          </w:p>
          <w:p w:rsidR="00537749" w:rsidRPr="00DA5D89" w:rsidRDefault="00C70FCC" w:rsidP="00DA5D89">
            <w:pPr>
              <w:jc w:val="both"/>
              <w:rPr>
                <w:rFonts w:cstheme="minorHAnsi"/>
                <w:color w:val="1F1E1D"/>
                <w:sz w:val="14"/>
                <w:szCs w:val="14"/>
              </w:rPr>
            </w:pPr>
            <w:r w:rsidRPr="00DA5D89">
              <w:rPr>
                <w:rFonts w:cstheme="minorHAnsi"/>
                <w:sz w:val="20"/>
                <w:szCs w:val="20"/>
              </w:rPr>
              <w:t xml:space="preserve">Ahora, las pilas de combustible </w:t>
            </w:r>
            <w:proofErr w:type="spellStart"/>
            <w:r w:rsidRPr="00DA5D89">
              <w:rPr>
                <w:rFonts w:cstheme="minorHAnsi"/>
                <w:sz w:val="20"/>
                <w:szCs w:val="20"/>
              </w:rPr>
              <w:t>microfluídicas</w:t>
            </w:r>
            <w:proofErr w:type="spellEnd"/>
            <w:r w:rsidRPr="00DA5D89">
              <w:rPr>
                <w:rFonts w:cstheme="minorHAnsi"/>
                <w:sz w:val="20"/>
                <w:szCs w:val="20"/>
              </w:rPr>
              <w:t xml:space="preserve"> en papel desarrolladas por los investigadores del CSIC y de la Universidad de Washington son capaces de proporcionar densidades de potencia de entre 1 y 5 </w:t>
            </w:r>
            <w:proofErr w:type="spellStart"/>
            <w:r w:rsidRPr="00DA5D89">
              <w:rPr>
                <w:rFonts w:cstheme="minorHAnsi"/>
                <w:sz w:val="20"/>
                <w:szCs w:val="20"/>
              </w:rPr>
              <w:t>milivatios</w:t>
            </w:r>
            <w:proofErr w:type="spellEnd"/>
            <w:r w:rsidRPr="00DA5D89">
              <w:rPr>
                <w:rFonts w:cstheme="minorHAnsi"/>
                <w:sz w:val="20"/>
                <w:szCs w:val="20"/>
              </w:rPr>
              <w:t>/cm</w:t>
            </w:r>
            <w:r w:rsidRPr="00DA5D89">
              <w:rPr>
                <w:rFonts w:cstheme="minorHAnsi"/>
                <w:sz w:val="20"/>
                <w:szCs w:val="20"/>
                <w:vertAlign w:val="superscript"/>
              </w:rPr>
              <w:t>2</w:t>
            </w:r>
            <w:bookmarkStart w:id="0" w:name="_GoBack"/>
            <w:bookmarkEnd w:id="0"/>
            <w:r w:rsidRPr="00DA5D89">
              <w:rPr>
                <w:rFonts w:cstheme="minorHAnsi"/>
                <w:sz w:val="20"/>
                <w:szCs w:val="20"/>
              </w:rPr>
              <w:t>. En su trabajo, los científicos muestran que, cuando las nuevas pilas se implementan en un sistema de detección basado en el papel como las tiras de flujo lateral, estos valores bastarían para proporcionar los resultados de una prueba de glucemia o de urea en orina. Tal como explica el CSIC en una nota de prensa, las aplicaciones de este desarrollo no se limitan al ámbito biomédico, puesto que pueden abarcar otros campos en los que las tiras de ensayo desechables son ampliamente utilizadas, como en el sector medioambiental, veterinario, agroalimentario y de la seguridad, entre otros.</w:t>
            </w:r>
          </w:p>
        </w:tc>
        <w:tc>
          <w:tcPr>
            <w:tcW w:w="4322" w:type="dxa"/>
          </w:tcPr>
          <w:p w:rsidR="00FF55DD" w:rsidRDefault="00FF55DD" w:rsidP="00443F81">
            <w:pPr>
              <w:rPr>
                <w:rFonts w:ascii="Verdana" w:hAnsi="Verdana"/>
                <w:color w:val="1F1E1D"/>
                <w:sz w:val="14"/>
                <w:szCs w:val="14"/>
              </w:rPr>
            </w:pPr>
          </w:p>
        </w:tc>
      </w:tr>
    </w:tbl>
    <w:p w:rsidR="00FF55DD" w:rsidRDefault="00FF55DD" w:rsidP="00443F81">
      <w:pPr>
        <w:rPr>
          <w:rFonts w:ascii="Verdana" w:hAnsi="Verdana"/>
          <w:color w:val="1F1E1D"/>
          <w:sz w:val="14"/>
          <w:szCs w:val="14"/>
        </w:rPr>
      </w:pPr>
    </w:p>
    <w:sectPr w:rsidR="00FF55DD" w:rsidSect="007B35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443F81"/>
    <w:rsid w:val="000953CD"/>
    <w:rsid w:val="000F2CE8"/>
    <w:rsid w:val="001A23D3"/>
    <w:rsid w:val="002D4314"/>
    <w:rsid w:val="00443F81"/>
    <w:rsid w:val="004B132B"/>
    <w:rsid w:val="004C4955"/>
    <w:rsid w:val="00537749"/>
    <w:rsid w:val="00544083"/>
    <w:rsid w:val="0068580D"/>
    <w:rsid w:val="0071602F"/>
    <w:rsid w:val="007545D4"/>
    <w:rsid w:val="007B3521"/>
    <w:rsid w:val="008A6B3A"/>
    <w:rsid w:val="00AE6A9F"/>
    <w:rsid w:val="00B304C7"/>
    <w:rsid w:val="00B9444E"/>
    <w:rsid w:val="00BF06E8"/>
    <w:rsid w:val="00C70FCC"/>
    <w:rsid w:val="00C94850"/>
    <w:rsid w:val="00D90BAD"/>
    <w:rsid w:val="00DA5D89"/>
    <w:rsid w:val="00EC4689"/>
    <w:rsid w:val="00FF5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55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FF55DD"/>
    <w:rPr>
      <w:i/>
      <w:iCs/>
    </w:rPr>
  </w:style>
  <w:style w:type="paragraph" w:styleId="Textodeglobo">
    <w:name w:val="Balloon Text"/>
    <w:basedOn w:val="Normal"/>
    <w:link w:val="TextodegloboCar"/>
    <w:uiPriority w:val="99"/>
    <w:semiHidden/>
    <w:unhideWhenUsed/>
    <w:rsid w:val="00BF06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51508">
      <w:bodyDiv w:val="1"/>
      <w:marLeft w:val="0"/>
      <w:marRight w:val="0"/>
      <w:marTop w:val="0"/>
      <w:marBottom w:val="0"/>
      <w:divBdr>
        <w:top w:val="none" w:sz="0" w:space="0" w:color="auto"/>
        <w:left w:val="none" w:sz="0" w:space="0" w:color="auto"/>
        <w:bottom w:val="none" w:sz="0" w:space="0" w:color="auto"/>
        <w:right w:val="none" w:sz="0" w:space="0" w:color="auto"/>
      </w:divBdr>
    </w:div>
    <w:div w:id="7285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223</Words>
  <Characters>1227</Characters>
  <Application>Microsoft Office Word</Application>
  <DocSecurity>0</DocSecurity>
  <Lines>10</Lines>
  <Paragraphs>2</Paragraphs>
  <ScaleCrop>false</ScaleCrop>
  <Company>.</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Virginia</cp:lastModifiedBy>
  <cp:revision>16</cp:revision>
  <dcterms:created xsi:type="dcterms:W3CDTF">2014-04-22T11:19:00Z</dcterms:created>
  <dcterms:modified xsi:type="dcterms:W3CDTF">2015-09-11T09:43:00Z</dcterms:modified>
</cp:coreProperties>
</file>