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87" w:rsidRDefault="002409F5" w:rsidP="00E27E87">
      <w:pPr>
        <w:jc w:val="center"/>
        <w:rPr>
          <w:rFonts w:ascii="Calibri" w:hAnsi="Calibri"/>
          <w:b/>
          <w:color w:val="FF0000"/>
          <w:lang w:val="it-IT"/>
        </w:rPr>
      </w:pPr>
      <w:r>
        <w:rPr>
          <w:rFonts w:ascii="Calibri" w:hAnsi="Calibri"/>
          <w:b/>
          <w:color w:val="FF0000"/>
          <w:lang w:val="it-IT"/>
        </w:rPr>
        <w:t>¡Guardar</w:t>
      </w:r>
      <w:bookmarkStart w:id="0" w:name="_GoBack"/>
      <w:bookmarkEnd w:id="0"/>
      <w:r w:rsidR="00E27E87">
        <w:rPr>
          <w:rFonts w:ascii="Calibri" w:hAnsi="Calibri"/>
          <w:b/>
          <w:color w:val="FF0000"/>
          <w:lang w:val="it-IT"/>
        </w:rPr>
        <w:t xml:space="preserve"> el documento añadiendo su nombre y apellidos!</w:t>
      </w:r>
    </w:p>
    <w:p w:rsidR="00192B2B" w:rsidRPr="00A0487A" w:rsidRDefault="00192B2B" w:rsidP="00192B2B">
      <w:pPr>
        <w:rPr>
          <w:rFonts w:ascii="Calibri" w:hAnsi="Calibri"/>
          <w:b/>
          <w:lang w:val="it-IT"/>
        </w:rPr>
      </w:pPr>
      <w:r w:rsidRPr="00A0487A">
        <w:rPr>
          <w:rFonts w:ascii="Calibri" w:hAnsi="Calibri"/>
          <w:b/>
          <w:lang w:val="it-IT"/>
        </w:rPr>
        <w:t>Nombre del traductor:</w:t>
      </w:r>
    </w:p>
    <w:p w:rsidR="00192B2B" w:rsidRPr="00A0487A" w:rsidRDefault="00192B2B" w:rsidP="00192B2B">
      <w:pPr>
        <w:rPr>
          <w:rFonts w:ascii="Calibri" w:hAnsi="Calibri"/>
          <w:b/>
          <w:lang w:val="it-IT"/>
        </w:rPr>
      </w:pPr>
      <w:r w:rsidRPr="00A0487A">
        <w:rPr>
          <w:rFonts w:ascii="Calibri" w:hAnsi="Calibri"/>
          <w:b/>
          <w:lang w:val="it-IT"/>
        </w:rPr>
        <w:t>Mail del traductor:</w:t>
      </w:r>
    </w:p>
    <w:p w:rsidR="00192B2B" w:rsidRPr="00A0487A" w:rsidRDefault="00192B2B" w:rsidP="00192B2B">
      <w:pPr>
        <w:rPr>
          <w:rFonts w:ascii="Calibri" w:hAnsi="Calibri"/>
          <w:b/>
          <w:lang w:val="it-IT"/>
        </w:rPr>
      </w:pPr>
      <w:r w:rsidRPr="00A0487A">
        <w:rPr>
          <w:rFonts w:ascii="Calibri" w:hAnsi="Calibri"/>
          <w:b/>
          <w:lang w:val="it-IT"/>
        </w:rPr>
        <w:t xml:space="preserve">Prueba </w:t>
      </w:r>
      <w:r>
        <w:rPr>
          <w:rFonts w:ascii="Calibri" w:hAnsi="Calibri"/>
          <w:b/>
          <w:lang w:val="it-IT"/>
        </w:rPr>
        <w:t>jurídica</w:t>
      </w:r>
    </w:p>
    <w:tbl>
      <w:tblPr>
        <w:tblStyle w:val="Tablaconcuadrcula"/>
        <w:tblW w:w="0" w:type="auto"/>
        <w:tblLook w:val="04A0" w:firstRow="1" w:lastRow="0" w:firstColumn="1" w:lastColumn="0" w:noHBand="0" w:noVBand="1"/>
      </w:tblPr>
      <w:tblGrid>
        <w:gridCol w:w="4322"/>
        <w:gridCol w:w="4322"/>
      </w:tblGrid>
      <w:tr w:rsidR="00192B2B" w:rsidRPr="009204F5" w:rsidTr="009204F5">
        <w:tc>
          <w:tcPr>
            <w:tcW w:w="4322" w:type="dxa"/>
          </w:tcPr>
          <w:p w:rsidR="00192B2B" w:rsidRPr="009204F5" w:rsidRDefault="00190651">
            <w:pPr>
              <w:rPr>
                <w:b/>
                <w:sz w:val="20"/>
                <w:szCs w:val="20"/>
              </w:rPr>
            </w:pPr>
            <w:r>
              <w:rPr>
                <w:b/>
                <w:sz w:val="20"/>
                <w:szCs w:val="20"/>
              </w:rPr>
              <w:t>FR</w:t>
            </w:r>
          </w:p>
        </w:tc>
        <w:tc>
          <w:tcPr>
            <w:tcW w:w="4322" w:type="dxa"/>
          </w:tcPr>
          <w:p w:rsidR="00192B2B" w:rsidRPr="00F2275B" w:rsidRDefault="00F2275B">
            <w:pPr>
              <w:rPr>
                <w:b/>
                <w:sz w:val="20"/>
                <w:szCs w:val="20"/>
              </w:rPr>
            </w:pPr>
            <w:r w:rsidRPr="00F2275B">
              <w:rPr>
                <w:b/>
                <w:sz w:val="20"/>
                <w:szCs w:val="20"/>
              </w:rPr>
              <w:t>Traducción</w:t>
            </w:r>
          </w:p>
        </w:tc>
      </w:tr>
      <w:tr w:rsidR="00192B2B" w:rsidRPr="00190651" w:rsidTr="009204F5">
        <w:tc>
          <w:tcPr>
            <w:tcW w:w="4322" w:type="dxa"/>
          </w:tcPr>
          <w:p w:rsidR="00E27E87" w:rsidRDefault="00190651" w:rsidP="00E27E87">
            <w:pPr>
              <w:shd w:val="clear" w:color="auto" w:fill="FFFFFF"/>
              <w:jc w:val="both"/>
              <w:rPr>
                <w:rFonts w:eastAsia="Times New Roman" w:cs="Arial"/>
                <w:color w:val="4D4D4D"/>
                <w:sz w:val="20"/>
                <w:szCs w:val="20"/>
                <w:lang w:val="fr-FR"/>
              </w:rPr>
            </w:pPr>
            <w:r>
              <w:rPr>
                <w:rFonts w:eastAsia="Times New Roman" w:cs="Arial"/>
                <w:color w:val="4D4D4D"/>
                <w:sz w:val="20"/>
                <w:szCs w:val="20"/>
                <w:lang w:val="fr-FR"/>
              </w:rPr>
              <w:t>XXX</w:t>
            </w:r>
            <w:r w:rsidRPr="00190651">
              <w:rPr>
                <w:rFonts w:eastAsia="Times New Roman" w:cs="Arial"/>
                <w:color w:val="4D4D4D"/>
                <w:sz w:val="20"/>
                <w:szCs w:val="20"/>
                <w:lang w:val="fr-FR"/>
              </w:rPr>
              <w:t xml:space="preserve"> conclut, en application de l'article</w:t>
            </w:r>
            <w:r>
              <w:rPr>
                <w:rFonts w:eastAsia="Times New Roman" w:cs="Arial"/>
                <w:color w:val="4D4D4D"/>
                <w:sz w:val="20"/>
                <w:szCs w:val="20"/>
                <w:lang w:val="fr-FR"/>
              </w:rPr>
              <w:t xml:space="preserve"> YYY du de</w:t>
            </w:r>
            <w:r w:rsidRPr="00190651">
              <w:rPr>
                <w:rFonts w:eastAsia="Times New Roman" w:cs="Arial"/>
                <w:color w:val="4D4D4D"/>
                <w:sz w:val="20"/>
                <w:szCs w:val="20"/>
                <w:lang w:val="fr-FR"/>
              </w:rPr>
              <w:t xml:space="preserve"> l'énergie, avec chaque producteur qui en fait la demande, un contrat dit « d'obligation d'achat », dont la durée et les tarifs sont fixés par les pouvoirs publics.</w:t>
            </w:r>
          </w:p>
          <w:p w:rsidR="00E27E87" w:rsidRDefault="00E27E87" w:rsidP="00E27E87">
            <w:pPr>
              <w:shd w:val="clear" w:color="auto" w:fill="FFFFFF"/>
              <w:jc w:val="both"/>
              <w:rPr>
                <w:rFonts w:eastAsia="Times New Roman" w:cs="Arial"/>
                <w:color w:val="4D4D4D"/>
                <w:sz w:val="20"/>
                <w:szCs w:val="20"/>
                <w:lang w:val="fr-FR"/>
              </w:rPr>
            </w:pPr>
          </w:p>
          <w:p w:rsidR="00190651" w:rsidRPr="00190651" w:rsidRDefault="00190651" w:rsidP="00E27E87">
            <w:pPr>
              <w:shd w:val="clear" w:color="auto" w:fill="FFFFFF"/>
              <w:jc w:val="both"/>
              <w:rPr>
                <w:rFonts w:eastAsia="Times New Roman" w:cs="Arial"/>
                <w:color w:val="4D4D4D"/>
                <w:sz w:val="20"/>
                <w:szCs w:val="20"/>
                <w:lang w:val="fr-FR"/>
              </w:rPr>
            </w:pPr>
            <w:r w:rsidRPr="00190651">
              <w:rPr>
                <w:rFonts w:eastAsia="Times New Roman" w:cs="Arial"/>
                <w:color w:val="4D4D4D"/>
                <w:sz w:val="20"/>
                <w:szCs w:val="20"/>
                <w:lang w:val="fr-FR"/>
              </w:rPr>
              <w:t>Différents types d'installations peuvent bénéficier de l'obligation d'achat. Il s'agit :</w:t>
            </w:r>
          </w:p>
          <w:p w:rsidR="00190651" w:rsidRPr="00190651" w:rsidRDefault="00190651" w:rsidP="00E27E87">
            <w:pPr>
              <w:numPr>
                <w:ilvl w:val="0"/>
                <w:numId w:val="2"/>
              </w:numPr>
              <w:shd w:val="clear" w:color="auto" w:fill="FFFFFF"/>
              <w:ind w:left="0" w:firstLine="0"/>
              <w:jc w:val="both"/>
              <w:rPr>
                <w:rFonts w:eastAsia="Times New Roman" w:cs="Arial"/>
                <w:color w:val="4D4D4D"/>
                <w:sz w:val="20"/>
                <w:szCs w:val="20"/>
                <w:lang w:val="fr-FR"/>
              </w:rPr>
            </w:pPr>
            <w:r w:rsidRPr="00190651">
              <w:rPr>
                <w:rFonts w:eastAsia="Times New Roman" w:cs="Arial"/>
                <w:color w:val="4D4D4D"/>
                <w:sz w:val="20"/>
                <w:szCs w:val="20"/>
                <w:lang w:val="fr-FR"/>
              </w:rPr>
              <w:t xml:space="preserve">des installations qui valorisent des déchets ménagers ou assimilés ou qui visent l'alimentation d'un réseau de chaleur ; </w:t>
            </w:r>
          </w:p>
          <w:p w:rsidR="00190651" w:rsidRPr="00190651" w:rsidRDefault="00190651" w:rsidP="00E27E87">
            <w:pPr>
              <w:numPr>
                <w:ilvl w:val="0"/>
                <w:numId w:val="2"/>
              </w:numPr>
              <w:shd w:val="clear" w:color="auto" w:fill="FFFFFF"/>
              <w:ind w:left="0" w:firstLine="0"/>
              <w:jc w:val="both"/>
              <w:rPr>
                <w:rFonts w:eastAsia="Times New Roman" w:cs="Arial"/>
                <w:color w:val="4D4D4D"/>
                <w:sz w:val="20"/>
                <w:szCs w:val="20"/>
                <w:lang w:val="fr-FR"/>
              </w:rPr>
            </w:pPr>
            <w:r w:rsidRPr="00190651">
              <w:rPr>
                <w:rFonts w:eastAsia="Times New Roman" w:cs="Arial"/>
                <w:color w:val="4D4D4D"/>
                <w:sz w:val="20"/>
                <w:szCs w:val="20"/>
                <w:lang w:val="fr-FR"/>
              </w:rPr>
              <w:t>des installations qui utilisent des énergies renouvelables ou qui mettent en œuvre des techniques performantes en termes d'efficacité énergétique, telles que la cogénération dans la limite d'une puissance maximale de 12 MW ;</w:t>
            </w:r>
          </w:p>
          <w:p w:rsidR="00190651" w:rsidRPr="00190651" w:rsidRDefault="00190651" w:rsidP="00E27E87">
            <w:pPr>
              <w:numPr>
                <w:ilvl w:val="0"/>
                <w:numId w:val="2"/>
              </w:numPr>
              <w:shd w:val="clear" w:color="auto" w:fill="FFFFFF"/>
              <w:ind w:left="0" w:firstLine="0"/>
              <w:jc w:val="both"/>
              <w:rPr>
                <w:rFonts w:eastAsia="Times New Roman" w:cs="Arial"/>
                <w:color w:val="4D4D4D"/>
                <w:sz w:val="20"/>
                <w:szCs w:val="20"/>
                <w:lang w:val="fr-FR"/>
              </w:rPr>
            </w:pPr>
            <w:r w:rsidRPr="00190651">
              <w:rPr>
                <w:rFonts w:eastAsia="Times New Roman" w:cs="Arial"/>
                <w:color w:val="4D4D4D"/>
                <w:sz w:val="20"/>
                <w:szCs w:val="20"/>
                <w:lang w:val="fr-FR"/>
              </w:rPr>
              <w:t>des installations de production d'électricité utilisant l'énergie mécanique du vent.</w:t>
            </w:r>
          </w:p>
          <w:p w:rsidR="00190651" w:rsidRDefault="00190651" w:rsidP="00190651">
            <w:pPr>
              <w:jc w:val="both"/>
              <w:rPr>
                <w:rFonts w:eastAsia="Times New Roman" w:cs="Arial"/>
                <w:color w:val="4D4D4D"/>
                <w:sz w:val="20"/>
                <w:szCs w:val="20"/>
                <w:lang w:val="fr-FR"/>
              </w:rPr>
            </w:pPr>
          </w:p>
          <w:p w:rsidR="009204F5" w:rsidRDefault="00190651" w:rsidP="00190651">
            <w:pPr>
              <w:jc w:val="both"/>
              <w:rPr>
                <w:rFonts w:eastAsia="Times New Roman" w:cs="Arial"/>
                <w:color w:val="4D4D4D"/>
                <w:sz w:val="20"/>
                <w:szCs w:val="20"/>
                <w:lang w:val="fr-FR"/>
              </w:rPr>
            </w:pPr>
            <w:r w:rsidRPr="00190651">
              <w:rPr>
                <w:rFonts w:eastAsia="Times New Roman" w:cs="Arial"/>
                <w:color w:val="4D4D4D"/>
                <w:sz w:val="20"/>
                <w:szCs w:val="20"/>
                <w:lang w:val="fr-FR"/>
              </w:rPr>
              <w:t xml:space="preserve">L'activité de producteur d'électricité implique un certain nombre de responsabilités. Les démarches à engager préalablement à la signature d'un contrat d'obligation d'achat sont multiples (autorisations administratives, démarches auprès du gestionnaire du réseau en vue d'obtenir le raccordement de l'installation, ...) et nécessitent donc une anticipation du producteur (particulièrement dans le cas de rénovation d'une centrale) afin d'aboutir à une contractualisation dans les délais souhaités par ce dernier. </w:t>
            </w:r>
          </w:p>
          <w:p w:rsidR="00190651" w:rsidRDefault="00190651" w:rsidP="00190651">
            <w:pPr>
              <w:jc w:val="both"/>
              <w:rPr>
                <w:rFonts w:eastAsia="Times New Roman" w:cs="Arial"/>
                <w:color w:val="4D4D4D"/>
                <w:sz w:val="20"/>
                <w:szCs w:val="20"/>
                <w:lang w:val="fr-FR"/>
              </w:rPr>
            </w:pPr>
          </w:p>
          <w:p w:rsidR="00190651" w:rsidRDefault="00190651" w:rsidP="00190651">
            <w:pPr>
              <w:jc w:val="both"/>
              <w:rPr>
                <w:rFonts w:eastAsia="Times New Roman" w:cs="Arial"/>
                <w:color w:val="4D4D4D"/>
                <w:sz w:val="20"/>
                <w:szCs w:val="20"/>
                <w:lang w:val="fr-FR"/>
              </w:rPr>
            </w:pPr>
            <w:r w:rsidRPr="00190651">
              <w:rPr>
                <w:rFonts w:eastAsia="Times New Roman" w:cs="Arial"/>
                <w:color w:val="4D4D4D"/>
                <w:sz w:val="20"/>
                <w:szCs w:val="20"/>
                <w:lang w:val="fr-FR"/>
              </w:rPr>
              <w:t>Les conditions d'achat, arrêtées par le ministre en charge de l'énergie, permettent conformément à la loi « une rémunération normale des capitaux investis ».</w:t>
            </w:r>
            <w:r w:rsidRPr="00190651">
              <w:rPr>
                <w:rFonts w:eastAsia="Times New Roman" w:cs="Arial"/>
                <w:color w:val="4D4D4D"/>
                <w:sz w:val="20"/>
                <w:szCs w:val="20"/>
                <w:lang w:val="fr-FR"/>
              </w:rPr>
              <w:br/>
            </w:r>
            <w:r w:rsidRPr="00190651">
              <w:rPr>
                <w:rFonts w:eastAsia="Times New Roman" w:cs="Arial"/>
                <w:color w:val="4D4D4D"/>
                <w:sz w:val="20"/>
                <w:szCs w:val="20"/>
                <w:lang w:val="fr-FR"/>
              </w:rPr>
              <w:br/>
              <w:t xml:space="preserve">Le tableau ci-dessous donne à titre indicatif pour chaque filière les conditions de rémunération en vigueur ainsi que les modèles de contrats approuvés par le ministre. </w:t>
            </w:r>
          </w:p>
          <w:p w:rsidR="00190651" w:rsidRPr="00190651" w:rsidRDefault="00190651" w:rsidP="00190651">
            <w:pPr>
              <w:jc w:val="both"/>
              <w:rPr>
                <w:sz w:val="20"/>
                <w:szCs w:val="20"/>
              </w:rPr>
            </w:pPr>
          </w:p>
        </w:tc>
        <w:tc>
          <w:tcPr>
            <w:tcW w:w="4322" w:type="dxa"/>
          </w:tcPr>
          <w:p w:rsidR="00192B2B" w:rsidRPr="00190651" w:rsidRDefault="00192B2B" w:rsidP="00190651">
            <w:pPr>
              <w:rPr>
                <w:sz w:val="20"/>
                <w:szCs w:val="20"/>
              </w:rPr>
            </w:pPr>
          </w:p>
        </w:tc>
      </w:tr>
    </w:tbl>
    <w:p w:rsidR="00751FD4" w:rsidRPr="00190651" w:rsidRDefault="00751FD4" w:rsidP="00190651">
      <w:pPr>
        <w:spacing w:after="0" w:line="240" w:lineRule="auto"/>
        <w:rPr>
          <w:sz w:val="20"/>
          <w:szCs w:val="20"/>
        </w:rPr>
      </w:pPr>
    </w:p>
    <w:sectPr w:rsidR="00751FD4" w:rsidRPr="00190651" w:rsidSect="00221B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5CA"/>
    <w:multiLevelType w:val="multilevel"/>
    <w:tmpl w:val="6CEE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77348"/>
    <w:multiLevelType w:val="multilevel"/>
    <w:tmpl w:val="AA2E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192B2B"/>
    <w:rsid w:val="00190651"/>
    <w:rsid w:val="00192B2B"/>
    <w:rsid w:val="00221B7C"/>
    <w:rsid w:val="002409F5"/>
    <w:rsid w:val="00751FD4"/>
    <w:rsid w:val="007E308D"/>
    <w:rsid w:val="008864E1"/>
    <w:rsid w:val="009204F5"/>
    <w:rsid w:val="0098090D"/>
    <w:rsid w:val="00E27E87"/>
    <w:rsid w:val="00EC67BF"/>
    <w:rsid w:val="00F227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2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0773">
      <w:bodyDiv w:val="1"/>
      <w:marLeft w:val="0"/>
      <w:marRight w:val="0"/>
      <w:marTop w:val="0"/>
      <w:marBottom w:val="0"/>
      <w:divBdr>
        <w:top w:val="none" w:sz="0" w:space="0" w:color="auto"/>
        <w:left w:val="none" w:sz="0" w:space="0" w:color="auto"/>
        <w:bottom w:val="none" w:sz="0" w:space="0" w:color="auto"/>
        <w:right w:val="none" w:sz="0" w:space="0" w:color="auto"/>
      </w:divBdr>
    </w:div>
    <w:div w:id="1434670027">
      <w:bodyDiv w:val="1"/>
      <w:marLeft w:val="0"/>
      <w:marRight w:val="0"/>
      <w:marTop w:val="0"/>
      <w:marBottom w:val="0"/>
      <w:divBdr>
        <w:top w:val="none" w:sz="0" w:space="0" w:color="auto"/>
        <w:left w:val="none" w:sz="0" w:space="0" w:color="auto"/>
        <w:bottom w:val="none" w:sz="0" w:space="0" w:color="auto"/>
        <w:right w:val="none" w:sz="0" w:space="0" w:color="auto"/>
      </w:divBdr>
      <w:divsChild>
        <w:div w:id="1010371290">
          <w:marLeft w:val="0"/>
          <w:marRight w:val="0"/>
          <w:marTop w:val="0"/>
          <w:marBottom w:val="0"/>
          <w:divBdr>
            <w:top w:val="none" w:sz="0" w:space="0" w:color="auto"/>
            <w:left w:val="none" w:sz="0" w:space="0" w:color="auto"/>
            <w:bottom w:val="none" w:sz="0" w:space="0" w:color="auto"/>
            <w:right w:val="none" w:sz="0" w:space="0" w:color="auto"/>
          </w:divBdr>
          <w:divsChild>
            <w:div w:id="1146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4602">
      <w:bodyDiv w:val="1"/>
      <w:marLeft w:val="0"/>
      <w:marRight w:val="0"/>
      <w:marTop w:val="0"/>
      <w:marBottom w:val="0"/>
      <w:divBdr>
        <w:top w:val="none" w:sz="0" w:space="0" w:color="auto"/>
        <w:left w:val="none" w:sz="0" w:space="0" w:color="auto"/>
        <w:bottom w:val="none" w:sz="0" w:space="0" w:color="auto"/>
        <w:right w:val="none" w:sz="0" w:space="0" w:color="auto"/>
      </w:divBdr>
      <w:divsChild>
        <w:div w:id="690882630">
          <w:marLeft w:val="0"/>
          <w:marRight w:val="0"/>
          <w:marTop w:val="0"/>
          <w:marBottom w:val="0"/>
          <w:divBdr>
            <w:top w:val="none" w:sz="0" w:space="0" w:color="auto"/>
            <w:left w:val="none" w:sz="0" w:space="0" w:color="auto"/>
            <w:bottom w:val="none" w:sz="0" w:space="0" w:color="auto"/>
            <w:right w:val="none" w:sz="0" w:space="0" w:color="auto"/>
          </w:divBdr>
          <w:divsChild>
            <w:div w:id="1475835470">
              <w:marLeft w:val="188"/>
              <w:marRight w:val="0"/>
              <w:marTop w:val="0"/>
              <w:marBottom w:val="0"/>
              <w:divBdr>
                <w:top w:val="none" w:sz="0" w:space="0" w:color="auto"/>
                <w:left w:val="none" w:sz="0" w:space="0" w:color="auto"/>
                <w:bottom w:val="none" w:sz="0" w:space="0" w:color="auto"/>
                <w:right w:val="none" w:sz="0" w:space="0" w:color="auto"/>
              </w:divBdr>
              <w:divsChild>
                <w:div w:id="844900127">
                  <w:marLeft w:val="0"/>
                  <w:marRight w:val="0"/>
                  <w:marTop w:val="0"/>
                  <w:marBottom w:val="0"/>
                  <w:divBdr>
                    <w:top w:val="none" w:sz="0" w:space="0" w:color="auto"/>
                    <w:left w:val="none" w:sz="0" w:space="0" w:color="auto"/>
                    <w:bottom w:val="none" w:sz="0" w:space="0" w:color="auto"/>
                    <w:right w:val="none" w:sz="0" w:space="0" w:color="auto"/>
                  </w:divBdr>
                  <w:divsChild>
                    <w:div w:id="1533305003">
                      <w:marLeft w:val="0"/>
                      <w:marRight w:val="0"/>
                      <w:marTop w:val="0"/>
                      <w:marBottom w:val="0"/>
                      <w:divBdr>
                        <w:top w:val="none" w:sz="0" w:space="0" w:color="auto"/>
                        <w:left w:val="none" w:sz="0" w:space="0" w:color="auto"/>
                        <w:bottom w:val="none" w:sz="0" w:space="0" w:color="auto"/>
                        <w:right w:val="none" w:sz="0" w:space="0" w:color="auto"/>
                      </w:divBdr>
                      <w:divsChild>
                        <w:div w:id="1777872758">
                          <w:marLeft w:val="0"/>
                          <w:marRight w:val="0"/>
                          <w:marTop w:val="0"/>
                          <w:marBottom w:val="0"/>
                          <w:divBdr>
                            <w:top w:val="none" w:sz="0" w:space="0" w:color="auto"/>
                            <w:left w:val="none" w:sz="0" w:space="0" w:color="auto"/>
                            <w:bottom w:val="none" w:sz="0" w:space="0" w:color="auto"/>
                            <w:right w:val="none" w:sz="0" w:space="0" w:color="auto"/>
                          </w:divBdr>
                          <w:divsChild>
                            <w:div w:id="18248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263</Words>
  <Characters>1451</Characters>
  <Application>Microsoft Office Word</Application>
  <DocSecurity>0</DocSecurity>
  <Lines>12</Lines>
  <Paragraphs>3</Paragraphs>
  <ScaleCrop>false</ScaleCrop>
  <Company>.</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10</cp:revision>
  <dcterms:created xsi:type="dcterms:W3CDTF">2014-04-22T09:52:00Z</dcterms:created>
  <dcterms:modified xsi:type="dcterms:W3CDTF">2015-04-28T08:35:00Z</dcterms:modified>
</cp:coreProperties>
</file>