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E7" w:rsidRDefault="00AE4090" w:rsidP="00782BE7">
      <w:pPr>
        <w:jc w:val="center"/>
        <w:rPr>
          <w:rFonts w:ascii="Calibri" w:hAnsi="Calibri"/>
          <w:b/>
          <w:color w:val="FF0000"/>
          <w:lang w:val="it-IT"/>
        </w:rPr>
      </w:pPr>
      <w:r>
        <w:rPr>
          <w:rFonts w:ascii="Calibri" w:hAnsi="Calibri"/>
          <w:b/>
          <w:color w:val="FF0000"/>
          <w:lang w:val="it-IT"/>
        </w:rPr>
        <w:t>¡Guardar</w:t>
      </w:r>
      <w:bookmarkStart w:id="0" w:name="_GoBack"/>
      <w:bookmarkEnd w:id="0"/>
      <w:r w:rsidR="00782BE7">
        <w:rPr>
          <w:rFonts w:ascii="Calibri" w:hAnsi="Calibri"/>
          <w:b/>
          <w:color w:val="FF0000"/>
          <w:lang w:val="it-IT"/>
        </w:rPr>
        <w:t xml:space="preserve"> el documento añadiendo su nombre y apellidos!</w:t>
      </w:r>
    </w:p>
    <w:p w:rsidR="00FF55DD" w:rsidRPr="00A0487A" w:rsidRDefault="00FF55DD" w:rsidP="00FF55DD">
      <w:pPr>
        <w:rPr>
          <w:rFonts w:ascii="Calibri" w:hAnsi="Calibri"/>
          <w:b/>
          <w:lang w:val="it-IT"/>
        </w:rPr>
      </w:pPr>
      <w:r w:rsidRPr="00A0487A">
        <w:rPr>
          <w:rFonts w:ascii="Calibri" w:hAnsi="Calibri"/>
          <w:b/>
          <w:lang w:val="it-IT"/>
        </w:rPr>
        <w:t>Nombre del traductor:</w:t>
      </w:r>
    </w:p>
    <w:p w:rsidR="00FF55DD" w:rsidRPr="00A0487A" w:rsidRDefault="00FF55DD" w:rsidP="00FF55DD">
      <w:pPr>
        <w:rPr>
          <w:rFonts w:ascii="Calibri" w:hAnsi="Calibri"/>
          <w:b/>
          <w:lang w:val="it-IT"/>
        </w:rPr>
      </w:pPr>
      <w:r w:rsidRPr="00A0487A">
        <w:rPr>
          <w:rFonts w:ascii="Calibri" w:hAnsi="Calibri"/>
          <w:b/>
          <w:lang w:val="it-IT"/>
        </w:rPr>
        <w:t>Mail del traductor:</w:t>
      </w:r>
    </w:p>
    <w:p w:rsidR="00FF55DD" w:rsidRPr="00A0487A" w:rsidRDefault="00FF55DD" w:rsidP="00FF55DD">
      <w:pPr>
        <w:rPr>
          <w:rFonts w:ascii="Calibri" w:hAnsi="Calibri"/>
          <w:b/>
          <w:lang w:val="it-IT"/>
        </w:rPr>
      </w:pPr>
      <w:r w:rsidRPr="00A0487A">
        <w:rPr>
          <w:rFonts w:ascii="Calibri" w:hAnsi="Calibri"/>
          <w:b/>
          <w:lang w:val="it-IT"/>
        </w:rPr>
        <w:t xml:space="preserve">Prueba </w:t>
      </w:r>
      <w:r>
        <w:rPr>
          <w:rFonts w:ascii="Calibri" w:hAnsi="Calibri"/>
          <w:b/>
          <w:lang w:val="it-IT"/>
        </w:rPr>
        <w:t>científica</w:t>
      </w:r>
    </w:p>
    <w:tbl>
      <w:tblPr>
        <w:tblStyle w:val="Tablaconcuadrcula"/>
        <w:tblW w:w="0" w:type="auto"/>
        <w:tblLook w:val="04A0" w:firstRow="1" w:lastRow="0" w:firstColumn="1" w:lastColumn="0" w:noHBand="0" w:noVBand="1"/>
      </w:tblPr>
      <w:tblGrid>
        <w:gridCol w:w="4322"/>
        <w:gridCol w:w="4322"/>
      </w:tblGrid>
      <w:tr w:rsidR="00FF55DD" w:rsidTr="00FF55DD">
        <w:tc>
          <w:tcPr>
            <w:tcW w:w="4322" w:type="dxa"/>
          </w:tcPr>
          <w:p w:rsidR="00FF55DD" w:rsidRPr="00FF55DD" w:rsidRDefault="00DF4155" w:rsidP="00443F81">
            <w:pPr>
              <w:rPr>
                <w:rFonts w:ascii="Verdana" w:hAnsi="Verdana"/>
                <w:b/>
                <w:color w:val="1F1E1D"/>
                <w:sz w:val="14"/>
                <w:szCs w:val="14"/>
              </w:rPr>
            </w:pPr>
            <w:r>
              <w:rPr>
                <w:rFonts w:ascii="Verdana" w:hAnsi="Verdana"/>
                <w:b/>
                <w:color w:val="1F1E1D"/>
                <w:sz w:val="14"/>
                <w:szCs w:val="14"/>
              </w:rPr>
              <w:t>FR</w:t>
            </w:r>
          </w:p>
        </w:tc>
        <w:tc>
          <w:tcPr>
            <w:tcW w:w="4322" w:type="dxa"/>
          </w:tcPr>
          <w:p w:rsidR="00FF55DD" w:rsidRPr="003406A5" w:rsidRDefault="008A6B3A" w:rsidP="00443F81">
            <w:pPr>
              <w:rPr>
                <w:rFonts w:ascii="Verdana" w:hAnsi="Verdana"/>
                <w:color w:val="1F1E1D"/>
                <w:sz w:val="14"/>
                <w:szCs w:val="14"/>
              </w:rPr>
            </w:pPr>
            <w:r w:rsidRPr="003406A5">
              <w:rPr>
                <w:b/>
              </w:rPr>
              <w:t>Traducción</w:t>
            </w:r>
          </w:p>
        </w:tc>
      </w:tr>
      <w:tr w:rsidR="00FF55DD" w:rsidTr="00FF55DD">
        <w:tc>
          <w:tcPr>
            <w:tcW w:w="4322" w:type="dxa"/>
          </w:tcPr>
          <w:p w:rsidR="00FF55DD" w:rsidRDefault="00FF55DD" w:rsidP="00443F81">
            <w:pPr>
              <w:rPr>
                <w:rFonts w:ascii="Verdana" w:hAnsi="Verdana"/>
                <w:color w:val="1F1E1D"/>
                <w:sz w:val="14"/>
                <w:szCs w:val="14"/>
              </w:rPr>
            </w:pPr>
          </w:p>
          <w:p w:rsidR="000F2CE8" w:rsidRDefault="00DF4155" w:rsidP="000F2CE8">
            <w:pPr>
              <w:jc w:val="both"/>
            </w:pPr>
            <w:r>
              <w:t>*Les astronomes du Sloan Digital Sky Survey (SDSS) ont utilisé 140 000 quasars lointains pour mesurer le taux d'expansion de l'Univers quand il était âgé seulement d'un quart de son âge actuel. C'est à ce jour la meilleure mesure du taux d'expansion à quelque époque que ce soit au cours des 13,8 milliards d'années depuis le Big Bang. Des chercheurs de l'Irfu (CEA) et du CNRS ont joué un rôle majeur dans cette découverte.</w:t>
            </w:r>
          </w:p>
          <w:p w:rsidR="00DF4155" w:rsidRDefault="00DF4155" w:rsidP="00DF4155">
            <w:pPr>
              <w:jc w:val="both"/>
            </w:pPr>
          </w:p>
          <w:p w:rsidR="00DF4155" w:rsidRPr="00DF4155" w:rsidRDefault="00DF4155" w:rsidP="00DF4155">
            <w:pPr>
              <w:pStyle w:val="NormalWeb"/>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w:t>
            </w:r>
            <w:r w:rsidRPr="00DF4155">
              <w:rPr>
                <w:rFonts w:asciiTheme="minorHAnsi" w:eastAsiaTheme="minorEastAsia" w:hAnsiTheme="minorHAnsi" w:cstheme="minorBidi"/>
                <w:color w:val="auto"/>
                <w:sz w:val="22"/>
                <w:szCs w:val="22"/>
              </w:rPr>
              <w:t>Les oxydes de métaux de transition sont des matériaux qui présentent des propriétés remarquables, telles la supraconductivité à haute température pour les oxydes de cuivre, la magnétorésistance colossale pour les oxydes de manganèse, la multi-ferroélectricité pour les ferrites de bismuth, ou encore la capacité photo-catalytique pour les titanates. On peut imaginer utiliser les états métalliques de surface pour contrôler les propriétés du matériau, voire créer de nouvelles propriétés grâce au confinement des électrons sur une épaisseur nanométrique.</w:t>
            </w:r>
          </w:p>
          <w:p w:rsidR="00DF4155" w:rsidRPr="00DF4155" w:rsidRDefault="00DF4155" w:rsidP="00DF4155">
            <w:pPr>
              <w:pStyle w:val="NormalWeb"/>
              <w:jc w:val="both"/>
              <w:rPr>
                <w:rFonts w:asciiTheme="minorHAnsi" w:eastAsiaTheme="minorEastAsia" w:hAnsiTheme="minorHAnsi" w:cstheme="minorBidi"/>
                <w:color w:val="auto"/>
                <w:sz w:val="22"/>
                <w:szCs w:val="22"/>
              </w:rPr>
            </w:pPr>
            <w:r w:rsidRPr="00DF4155">
              <w:rPr>
                <w:rFonts w:asciiTheme="minorHAnsi" w:eastAsiaTheme="minorEastAsia" w:hAnsiTheme="minorHAnsi" w:cstheme="minorBidi"/>
                <w:color w:val="auto"/>
                <w:sz w:val="22"/>
                <w:szCs w:val="22"/>
              </w:rPr>
              <w:t xml:space="preserve">En 2011, </w:t>
            </w:r>
            <w:hyperlink r:id="rId5" w:history="1">
              <w:r w:rsidRPr="00DF4155">
                <w:rPr>
                  <w:rFonts w:asciiTheme="minorHAnsi" w:eastAsiaTheme="minorEastAsia" w:hAnsiTheme="minorHAnsi" w:cstheme="minorBidi"/>
                  <w:color w:val="auto"/>
                  <w:sz w:val="22"/>
                  <w:szCs w:val="22"/>
                </w:rPr>
                <w:t>une première expérience</w:t>
              </w:r>
            </w:hyperlink>
            <w:r w:rsidRPr="00DF4155">
              <w:rPr>
                <w:rFonts w:asciiTheme="minorHAnsi" w:eastAsiaTheme="minorEastAsia" w:hAnsiTheme="minorHAnsi" w:cstheme="minorBidi"/>
                <w:color w:val="auto"/>
                <w:sz w:val="22"/>
                <w:szCs w:val="22"/>
              </w:rPr>
              <w:t xml:space="preserve"> est pilotée par le CSNSM : les chercheurs réussissent à créer des états bidimensionnels métalliques (gaz d’électrons) à la surface nue de plusieurs oxydes isolants et transparents appartenant à la famille des oxydes de métaux de transition, tels que le SrTiO3 et le KTaO3. Ces gaz d’électrons 2D métalliques s’avèrent ainsi prometteurs pour la micro-électronique du futur.</w:t>
            </w:r>
          </w:p>
          <w:p w:rsidR="00DF4155" w:rsidRDefault="00DF4155" w:rsidP="000F2CE8">
            <w:pPr>
              <w:jc w:val="both"/>
              <w:rPr>
                <w:rFonts w:ascii="Verdana" w:hAnsi="Verdana"/>
                <w:color w:val="1F1E1D"/>
                <w:sz w:val="14"/>
                <w:szCs w:val="14"/>
              </w:rPr>
            </w:pPr>
          </w:p>
        </w:tc>
        <w:tc>
          <w:tcPr>
            <w:tcW w:w="4322" w:type="dxa"/>
          </w:tcPr>
          <w:p w:rsidR="00FF55DD" w:rsidRDefault="00FF55DD" w:rsidP="00443F81">
            <w:pPr>
              <w:rPr>
                <w:rFonts w:ascii="Verdana" w:hAnsi="Verdana"/>
                <w:color w:val="1F1E1D"/>
                <w:sz w:val="14"/>
                <w:szCs w:val="14"/>
              </w:rPr>
            </w:pPr>
          </w:p>
        </w:tc>
      </w:tr>
    </w:tbl>
    <w:p w:rsidR="00FF55DD" w:rsidRDefault="00FF55DD" w:rsidP="00443F81">
      <w:pPr>
        <w:rPr>
          <w:rFonts w:ascii="Verdana" w:hAnsi="Verdana"/>
          <w:color w:val="1F1E1D"/>
          <w:sz w:val="14"/>
          <w:szCs w:val="14"/>
        </w:rPr>
      </w:pPr>
    </w:p>
    <w:sectPr w:rsidR="00FF55DD" w:rsidSect="007B3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443F81"/>
    <w:rsid w:val="000F2CE8"/>
    <w:rsid w:val="002D3CE5"/>
    <w:rsid w:val="002D4314"/>
    <w:rsid w:val="003406A5"/>
    <w:rsid w:val="00443F81"/>
    <w:rsid w:val="004C4955"/>
    <w:rsid w:val="00544083"/>
    <w:rsid w:val="0071602F"/>
    <w:rsid w:val="00782BE7"/>
    <w:rsid w:val="007B3521"/>
    <w:rsid w:val="008A6B3A"/>
    <w:rsid w:val="00AE4090"/>
    <w:rsid w:val="00B9444E"/>
    <w:rsid w:val="00C94850"/>
    <w:rsid w:val="00DF4155"/>
    <w:rsid w:val="00F63281"/>
    <w:rsid w:val="00FF5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5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FF55DD"/>
    <w:rPr>
      <w:i/>
      <w:iCs/>
    </w:rPr>
  </w:style>
  <w:style w:type="character" w:styleId="Hipervnculo">
    <w:name w:val="Hyperlink"/>
    <w:basedOn w:val="Fuentedeprrafopredeter"/>
    <w:uiPriority w:val="99"/>
    <w:semiHidden/>
    <w:unhideWhenUsed/>
    <w:rsid w:val="00DF4155"/>
    <w:rPr>
      <w:color w:val="263033"/>
      <w:u w:val="single"/>
    </w:rPr>
  </w:style>
  <w:style w:type="paragraph" w:styleId="NormalWeb">
    <w:name w:val="Normal (Web)"/>
    <w:basedOn w:val="Normal"/>
    <w:uiPriority w:val="99"/>
    <w:semiHidden/>
    <w:unhideWhenUsed/>
    <w:rsid w:val="00DF4155"/>
    <w:pPr>
      <w:spacing w:before="63" w:after="63" w:line="240" w:lineRule="auto"/>
    </w:pPr>
    <w:rPr>
      <w:rFonts w:ascii="Arial" w:eastAsia="Times New Roman" w:hAnsi="Arial" w:cs="Arial"/>
      <w:color w:val="282828"/>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578">
      <w:bodyDiv w:val="1"/>
      <w:marLeft w:val="0"/>
      <w:marRight w:val="0"/>
      <w:marTop w:val="0"/>
      <w:marBottom w:val="0"/>
      <w:divBdr>
        <w:top w:val="none" w:sz="0" w:space="0" w:color="auto"/>
        <w:left w:val="none" w:sz="0" w:space="0" w:color="auto"/>
        <w:bottom w:val="none" w:sz="0" w:space="0" w:color="auto"/>
        <w:right w:val="none" w:sz="0" w:space="0" w:color="auto"/>
      </w:divBdr>
    </w:div>
    <w:div w:id="728530026">
      <w:bodyDiv w:val="1"/>
      <w:marLeft w:val="0"/>
      <w:marRight w:val="0"/>
      <w:marTop w:val="0"/>
      <w:marBottom w:val="0"/>
      <w:divBdr>
        <w:top w:val="none" w:sz="0" w:space="0" w:color="auto"/>
        <w:left w:val="none" w:sz="0" w:space="0" w:color="auto"/>
        <w:bottom w:val="none" w:sz="0" w:space="0" w:color="auto"/>
        <w:right w:val="none" w:sz="0" w:space="0" w:color="auto"/>
      </w:divBdr>
    </w:div>
    <w:div w:id="2134515405">
      <w:bodyDiv w:val="1"/>
      <w:marLeft w:val="0"/>
      <w:marRight w:val="0"/>
      <w:marTop w:val="0"/>
      <w:marBottom w:val="0"/>
      <w:divBdr>
        <w:top w:val="none" w:sz="0" w:space="0" w:color="auto"/>
        <w:left w:val="none" w:sz="0" w:space="0" w:color="auto"/>
        <w:bottom w:val="none" w:sz="0" w:space="0" w:color="auto"/>
        <w:right w:val="none" w:sz="0" w:space="0" w:color="auto"/>
      </w:divBdr>
      <w:divsChild>
        <w:div w:id="128598798">
          <w:marLeft w:val="125"/>
          <w:marRight w:val="125"/>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2p3.fr/presse/communiques/archives/2011/04_gaz_electron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1365</Characters>
  <Application>Microsoft Office Word</Application>
  <DocSecurity>0</DocSecurity>
  <Lines>11</Lines>
  <Paragraphs>3</Paragraphs>
  <ScaleCrop>false</ScaleCrop>
  <Company>.</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Virginia</cp:lastModifiedBy>
  <cp:revision>13</cp:revision>
  <dcterms:created xsi:type="dcterms:W3CDTF">2014-04-22T11:19:00Z</dcterms:created>
  <dcterms:modified xsi:type="dcterms:W3CDTF">2015-04-28T08:35:00Z</dcterms:modified>
</cp:coreProperties>
</file>