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B6C" w:rsidRDefault="00DB5855" w:rsidP="00E84B6C">
      <w:pPr>
        <w:jc w:val="center"/>
        <w:rPr>
          <w:rFonts w:ascii="Calibri" w:hAnsi="Calibri"/>
          <w:b/>
          <w:color w:val="FF0000"/>
          <w:lang w:val="it-IT"/>
        </w:rPr>
      </w:pPr>
      <w:r>
        <w:rPr>
          <w:rFonts w:ascii="Calibri" w:hAnsi="Calibri"/>
          <w:b/>
          <w:color w:val="FF0000"/>
          <w:lang w:val="it-IT"/>
        </w:rPr>
        <w:t>¡Guardar</w:t>
      </w:r>
      <w:bookmarkStart w:id="0" w:name="_GoBack"/>
      <w:bookmarkEnd w:id="0"/>
      <w:r w:rsidR="00E84B6C">
        <w:rPr>
          <w:rFonts w:ascii="Calibri" w:hAnsi="Calibri"/>
          <w:b/>
          <w:color w:val="FF0000"/>
          <w:lang w:val="it-IT"/>
        </w:rPr>
        <w:t xml:space="preserve"> el documento añadiendo su nombre y apellidos!</w:t>
      </w:r>
    </w:p>
    <w:p w:rsidR="00206683" w:rsidRPr="00A0487A" w:rsidRDefault="00206683" w:rsidP="00206683">
      <w:pPr>
        <w:rPr>
          <w:rFonts w:ascii="Calibri" w:hAnsi="Calibri"/>
          <w:b/>
          <w:lang w:val="it-IT"/>
        </w:rPr>
      </w:pPr>
      <w:r w:rsidRPr="00A0487A">
        <w:rPr>
          <w:rFonts w:ascii="Calibri" w:hAnsi="Calibri"/>
          <w:b/>
          <w:lang w:val="it-IT"/>
        </w:rPr>
        <w:t>Nombre del traductor:</w:t>
      </w:r>
    </w:p>
    <w:p w:rsidR="00206683" w:rsidRPr="00A0487A" w:rsidRDefault="00206683" w:rsidP="00206683">
      <w:pPr>
        <w:rPr>
          <w:rFonts w:ascii="Calibri" w:hAnsi="Calibri"/>
          <w:b/>
          <w:lang w:val="it-IT"/>
        </w:rPr>
      </w:pPr>
      <w:r w:rsidRPr="00A0487A">
        <w:rPr>
          <w:rFonts w:ascii="Calibri" w:hAnsi="Calibri"/>
          <w:b/>
          <w:lang w:val="it-IT"/>
        </w:rPr>
        <w:t>Mail del traductor:</w:t>
      </w:r>
    </w:p>
    <w:p w:rsidR="00206683" w:rsidRPr="00A0487A" w:rsidRDefault="00206683" w:rsidP="00206683">
      <w:pPr>
        <w:rPr>
          <w:rFonts w:ascii="Calibri" w:hAnsi="Calibri"/>
          <w:b/>
          <w:lang w:val="it-IT"/>
        </w:rPr>
      </w:pPr>
      <w:r w:rsidRPr="00A0487A">
        <w:rPr>
          <w:rFonts w:ascii="Calibri" w:hAnsi="Calibri"/>
          <w:b/>
          <w:lang w:val="it-IT"/>
        </w:rPr>
        <w:t xml:space="preserve">Prueba </w:t>
      </w:r>
      <w:r>
        <w:rPr>
          <w:rFonts w:ascii="Calibri" w:hAnsi="Calibri"/>
          <w:b/>
          <w:lang w:val="it-IT"/>
        </w:rPr>
        <w:t>financiera</w:t>
      </w:r>
    </w:p>
    <w:tbl>
      <w:tblPr>
        <w:tblStyle w:val="Tablaconcuadrcula"/>
        <w:tblW w:w="0" w:type="auto"/>
        <w:tblLook w:val="04A0" w:firstRow="1" w:lastRow="0" w:firstColumn="1" w:lastColumn="0" w:noHBand="0" w:noVBand="1"/>
      </w:tblPr>
      <w:tblGrid>
        <w:gridCol w:w="4322"/>
        <w:gridCol w:w="4322"/>
      </w:tblGrid>
      <w:tr w:rsidR="00206683" w:rsidRPr="002316BA" w:rsidTr="00206683">
        <w:tc>
          <w:tcPr>
            <w:tcW w:w="4322" w:type="dxa"/>
          </w:tcPr>
          <w:p w:rsidR="00206683" w:rsidRPr="002316BA" w:rsidRDefault="00585B67">
            <w:pPr>
              <w:rPr>
                <w:b/>
                <w:sz w:val="18"/>
                <w:szCs w:val="18"/>
              </w:rPr>
            </w:pPr>
            <w:r w:rsidRPr="002316BA">
              <w:rPr>
                <w:b/>
                <w:sz w:val="18"/>
                <w:szCs w:val="18"/>
              </w:rPr>
              <w:t>FR</w:t>
            </w:r>
          </w:p>
        </w:tc>
        <w:tc>
          <w:tcPr>
            <w:tcW w:w="4322" w:type="dxa"/>
          </w:tcPr>
          <w:p w:rsidR="00206683" w:rsidRPr="002316BA" w:rsidRDefault="001C11BE">
            <w:pPr>
              <w:rPr>
                <w:b/>
                <w:sz w:val="18"/>
                <w:szCs w:val="18"/>
                <w:highlight w:val="yellow"/>
              </w:rPr>
            </w:pPr>
            <w:r w:rsidRPr="002316BA">
              <w:rPr>
                <w:b/>
                <w:sz w:val="18"/>
                <w:szCs w:val="18"/>
              </w:rPr>
              <w:t xml:space="preserve">Traducción </w:t>
            </w:r>
          </w:p>
        </w:tc>
      </w:tr>
      <w:tr w:rsidR="00585B67" w:rsidRPr="002316BA" w:rsidTr="002C3140">
        <w:trPr>
          <w:trHeight w:val="1104"/>
        </w:trPr>
        <w:tc>
          <w:tcPr>
            <w:tcW w:w="4322" w:type="dxa"/>
          </w:tcPr>
          <w:p w:rsidR="00585B67" w:rsidRPr="002316BA" w:rsidRDefault="00585B67" w:rsidP="00054A33">
            <w:pPr>
              <w:pStyle w:val="Ttulo1"/>
              <w:outlineLvl w:val="0"/>
              <w:rPr>
                <w:sz w:val="18"/>
                <w:szCs w:val="18"/>
              </w:rPr>
            </w:pP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4106"/>
            </w:tblGrid>
            <w:tr w:rsidR="002316BA" w:rsidRPr="002316BA">
              <w:trPr>
                <w:tblCellSpacing w:w="0" w:type="dxa"/>
              </w:trPr>
              <w:tc>
                <w:tcPr>
                  <w:tcW w:w="0" w:type="auto"/>
                  <w:tcBorders>
                    <w:top w:val="single" w:sz="4" w:space="0" w:color="444444"/>
                    <w:bottom w:val="single" w:sz="4" w:space="0" w:color="444444"/>
                  </w:tcBorders>
                  <w:shd w:val="clear" w:color="auto" w:fill="D9D9D9"/>
                  <w:vAlign w:val="center"/>
                  <w:hideMark/>
                </w:tcPr>
                <w:p w:rsidR="002316BA" w:rsidRPr="002316BA" w:rsidRDefault="002316BA" w:rsidP="002316BA">
                  <w:pPr>
                    <w:spacing w:after="0" w:line="240" w:lineRule="auto"/>
                    <w:jc w:val="center"/>
                    <w:rPr>
                      <w:rFonts w:ascii="Times New Roman" w:eastAsia="Times New Roman" w:hAnsi="Times New Roman" w:cs="Times New Roman"/>
                      <w:sz w:val="18"/>
                      <w:szCs w:val="18"/>
                    </w:rPr>
                  </w:pPr>
                  <w:r w:rsidRPr="002316BA">
                    <w:rPr>
                      <w:rFonts w:ascii="Times New Roman" w:eastAsia="Times New Roman" w:hAnsi="Times New Roman" w:cs="Times New Roman"/>
                      <w:sz w:val="18"/>
                      <w:szCs w:val="18"/>
                    </w:rPr>
                    <w:t xml:space="preserve">Comptes annuels numérisés </w:t>
                  </w:r>
                </w:p>
              </w:tc>
            </w:tr>
            <w:tr w:rsidR="002316BA" w:rsidRPr="002316BA" w:rsidTr="002316BA">
              <w:trPr>
                <w:tblCellSpacing w:w="0" w:type="dxa"/>
              </w:trPr>
              <w:tc>
                <w:tcPr>
                  <w:tcW w:w="0" w:type="auto"/>
                  <w:vAlign w:val="center"/>
                  <w:hideMark/>
                </w:tcPr>
                <w:p w:rsidR="002316BA" w:rsidRPr="002316BA" w:rsidRDefault="002316BA" w:rsidP="002316BA">
                  <w:pPr>
                    <w:spacing w:after="0" w:line="240" w:lineRule="auto"/>
                    <w:rPr>
                      <w:rFonts w:ascii="Times New Roman" w:eastAsia="Times New Roman" w:hAnsi="Times New Roman" w:cs="Times New Roman"/>
                      <w:sz w:val="18"/>
                      <w:szCs w:val="18"/>
                    </w:rPr>
                  </w:pPr>
                  <w:r w:rsidRPr="002316BA">
                    <w:rPr>
                      <w:rFonts w:ascii="Times New Roman" w:eastAsia="Times New Roman" w:hAnsi="Times New Roman" w:cs="Times New Roman"/>
                      <w:sz w:val="18"/>
                      <w:szCs w:val="18"/>
                    </w:rPr>
                    <w:t xml:space="preserve">Bilan passif </w:t>
                  </w:r>
                </w:p>
              </w:tc>
            </w:tr>
            <w:tr w:rsidR="002316BA" w:rsidRPr="002316BA" w:rsidTr="002316BA">
              <w:trPr>
                <w:tblCellSpacing w:w="0" w:type="dxa"/>
              </w:trPr>
              <w:tc>
                <w:tcPr>
                  <w:tcW w:w="0" w:type="auto"/>
                  <w:vAlign w:val="center"/>
                  <w:hideMark/>
                </w:tcPr>
                <w:p w:rsidR="002316BA" w:rsidRPr="002316BA" w:rsidRDefault="002316BA" w:rsidP="002316BA">
                  <w:pPr>
                    <w:spacing w:after="0" w:line="240" w:lineRule="auto"/>
                    <w:rPr>
                      <w:rFonts w:ascii="Times New Roman" w:eastAsia="Times New Roman" w:hAnsi="Times New Roman" w:cs="Times New Roman"/>
                      <w:sz w:val="18"/>
                      <w:szCs w:val="18"/>
                    </w:rPr>
                  </w:pPr>
                  <w:r w:rsidRPr="002316BA">
                    <w:rPr>
                      <w:rFonts w:ascii="Times New Roman" w:eastAsia="Times New Roman" w:hAnsi="Times New Roman" w:cs="Times New Roman"/>
                      <w:sz w:val="18"/>
                      <w:szCs w:val="18"/>
                    </w:rPr>
                    <w:t xml:space="preserve">Bilan actif </w:t>
                  </w:r>
                </w:p>
              </w:tc>
            </w:tr>
            <w:tr w:rsidR="002316BA" w:rsidRPr="002316BA" w:rsidTr="002316BA">
              <w:trPr>
                <w:tblCellSpacing w:w="0" w:type="dxa"/>
              </w:trPr>
              <w:tc>
                <w:tcPr>
                  <w:tcW w:w="0" w:type="auto"/>
                  <w:vAlign w:val="center"/>
                  <w:hideMark/>
                </w:tcPr>
                <w:p w:rsidR="002316BA" w:rsidRPr="002316BA" w:rsidRDefault="002316BA" w:rsidP="002316BA">
                  <w:pPr>
                    <w:spacing w:after="0" w:line="240" w:lineRule="auto"/>
                    <w:rPr>
                      <w:rFonts w:ascii="Times New Roman" w:eastAsia="Times New Roman" w:hAnsi="Times New Roman" w:cs="Times New Roman"/>
                      <w:sz w:val="18"/>
                      <w:szCs w:val="18"/>
                    </w:rPr>
                  </w:pPr>
                  <w:r w:rsidRPr="002316BA">
                    <w:rPr>
                      <w:rFonts w:ascii="Times New Roman" w:eastAsia="Times New Roman" w:hAnsi="Times New Roman" w:cs="Times New Roman"/>
                      <w:sz w:val="18"/>
                      <w:szCs w:val="18"/>
                    </w:rPr>
                    <w:t xml:space="preserve">Compte de résultats </w:t>
                  </w:r>
                </w:p>
              </w:tc>
            </w:tr>
            <w:tr w:rsidR="002316BA" w:rsidRPr="002316BA" w:rsidTr="002316BA">
              <w:trPr>
                <w:tblCellSpacing w:w="0" w:type="dxa"/>
              </w:trPr>
              <w:tc>
                <w:tcPr>
                  <w:tcW w:w="0" w:type="auto"/>
                  <w:vAlign w:val="center"/>
                  <w:hideMark/>
                </w:tcPr>
                <w:p w:rsidR="002316BA" w:rsidRPr="002316BA" w:rsidRDefault="002316BA" w:rsidP="002316BA">
                  <w:pPr>
                    <w:spacing w:after="0" w:line="240" w:lineRule="auto"/>
                    <w:rPr>
                      <w:rFonts w:ascii="Times New Roman" w:eastAsia="Times New Roman" w:hAnsi="Times New Roman" w:cs="Times New Roman"/>
                      <w:sz w:val="18"/>
                      <w:szCs w:val="18"/>
                    </w:rPr>
                  </w:pPr>
                  <w:r w:rsidRPr="002316BA">
                    <w:rPr>
                      <w:rFonts w:ascii="Times New Roman" w:eastAsia="Times New Roman" w:hAnsi="Times New Roman" w:cs="Times New Roman"/>
                      <w:sz w:val="18"/>
                      <w:szCs w:val="18"/>
                    </w:rPr>
                    <w:t xml:space="preserve">Amortissements </w:t>
                  </w:r>
                </w:p>
              </w:tc>
            </w:tr>
            <w:tr w:rsidR="002316BA" w:rsidRPr="002316BA" w:rsidTr="002316BA">
              <w:trPr>
                <w:tblCellSpacing w:w="0" w:type="dxa"/>
              </w:trPr>
              <w:tc>
                <w:tcPr>
                  <w:tcW w:w="0" w:type="auto"/>
                  <w:vAlign w:val="center"/>
                  <w:hideMark/>
                </w:tcPr>
                <w:p w:rsidR="002316BA" w:rsidRPr="002316BA" w:rsidRDefault="002316BA" w:rsidP="002316BA">
                  <w:pPr>
                    <w:spacing w:after="0" w:line="240" w:lineRule="auto"/>
                    <w:rPr>
                      <w:rFonts w:ascii="Times New Roman" w:eastAsia="Times New Roman" w:hAnsi="Times New Roman" w:cs="Times New Roman"/>
                      <w:sz w:val="18"/>
                      <w:szCs w:val="18"/>
                    </w:rPr>
                  </w:pPr>
                  <w:r w:rsidRPr="002316BA">
                    <w:rPr>
                      <w:rFonts w:ascii="Times New Roman" w:eastAsia="Times New Roman" w:hAnsi="Times New Roman" w:cs="Times New Roman"/>
                      <w:sz w:val="18"/>
                      <w:szCs w:val="18"/>
                    </w:rPr>
                    <w:t xml:space="preserve">Immobilisations et provisions </w:t>
                  </w:r>
                </w:p>
              </w:tc>
            </w:tr>
            <w:tr w:rsidR="002316BA" w:rsidRPr="002316BA" w:rsidTr="002316BA">
              <w:trPr>
                <w:tblCellSpacing w:w="0" w:type="dxa"/>
              </w:trPr>
              <w:tc>
                <w:tcPr>
                  <w:tcW w:w="0" w:type="auto"/>
                  <w:vAlign w:val="center"/>
                  <w:hideMark/>
                </w:tcPr>
                <w:p w:rsidR="002316BA" w:rsidRPr="002316BA" w:rsidRDefault="002316BA" w:rsidP="002316BA">
                  <w:pPr>
                    <w:spacing w:after="0" w:line="240" w:lineRule="auto"/>
                    <w:rPr>
                      <w:rFonts w:ascii="Times New Roman" w:eastAsia="Times New Roman" w:hAnsi="Times New Roman" w:cs="Times New Roman"/>
                      <w:sz w:val="18"/>
                      <w:szCs w:val="18"/>
                    </w:rPr>
                  </w:pPr>
                  <w:r w:rsidRPr="002316BA">
                    <w:rPr>
                      <w:rFonts w:ascii="Times New Roman" w:eastAsia="Times New Roman" w:hAnsi="Times New Roman" w:cs="Times New Roman"/>
                      <w:sz w:val="18"/>
                      <w:szCs w:val="18"/>
                    </w:rPr>
                    <w:t xml:space="preserve">Etat des créances et dettes </w:t>
                  </w:r>
                </w:p>
              </w:tc>
            </w:tr>
            <w:tr w:rsidR="002316BA" w:rsidRPr="002316BA" w:rsidTr="002316BA">
              <w:trPr>
                <w:tblCellSpacing w:w="0" w:type="dxa"/>
              </w:trPr>
              <w:tc>
                <w:tcPr>
                  <w:tcW w:w="0" w:type="auto"/>
                  <w:vAlign w:val="center"/>
                  <w:hideMark/>
                </w:tcPr>
                <w:p w:rsidR="002316BA" w:rsidRPr="002316BA" w:rsidRDefault="002316BA" w:rsidP="002316BA">
                  <w:pPr>
                    <w:spacing w:after="0" w:line="240" w:lineRule="auto"/>
                    <w:rPr>
                      <w:rFonts w:ascii="Times New Roman" w:eastAsia="Times New Roman" w:hAnsi="Times New Roman" w:cs="Times New Roman"/>
                      <w:sz w:val="18"/>
                      <w:szCs w:val="18"/>
                    </w:rPr>
                  </w:pPr>
                  <w:r w:rsidRPr="002316BA">
                    <w:rPr>
                      <w:rFonts w:ascii="Times New Roman" w:eastAsia="Times New Roman" w:hAnsi="Times New Roman" w:cs="Times New Roman"/>
                      <w:sz w:val="18"/>
                      <w:szCs w:val="18"/>
                    </w:rPr>
                    <w:t xml:space="preserve">Rapport de gestion </w:t>
                  </w:r>
                </w:p>
              </w:tc>
            </w:tr>
            <w:tr w:rsidR="002316BA" w:rsidRPr="002316BA" w:rsidTr="002316BA">
              <w:trPr>
                <w:tblCellSpacing w:w="0" w:type="dxa"/>
              </w:trPr>
              <w:tc>
                <w:tcPr>
                  <w:tcW w:w="0" w:type="auto"/>
                  <w:vAlign w:val="center"/>
                  <w:hideMark/>
                </w:tcPr>
                <w:p w:rsidR="002316BA" w:rsidRPr="002316BA" w:rsidRDefault="002316BA" w:rsidP="002316BA">
                  <w:pPr>
                    <w:spacing w:after="0" w:line="240" w:lineRule="auto"/>
                    <w:rPr>
                      <w:rFonts w:ascii="Times New Roman" w:eastAsia="Times New Roman" w:hAnsi="Times New Roman" w:cs="Times New Roman"/>
                      <w:sz w:val="18"/>
                      <w:szCs w:val="18"/>
                    </w:rPr>
                  </w:pPr>
                  <w:r w:rsidRPr="002316BA">
                    <w:rPr>
                      <w:rFonts w:ascii="Times New Roman" w:eastAsia="Times New Roman" w:hAnsi="Times New Roman" w:cs="Times New Roman"/>
                      <w:sz w:val="18"/>
                      <w:szCs w:val="18"/>
                    </w:rPr>
                    <w:t xml:space="preserve">Affectation du résultat, résolution de l'affectation </w:t>
                  </w:r>
                </w:p>
              </w:tc>
            </w:tr>
            <w:tr w:rsidR="002316BA" w:rsidRPr="002316BA" w:rsidTr="002316BA">
              <w:trPr>
                <w:tblCellSpacing w:w="0" w:type="dxa"/>
              </w:trPr>
              <w:tc>
                <w:tcPr>
                  <w:tcW w:w="0" w:type="auto"/>
                  <w:vAlign w:val="center"/>
                  <w:hideMark/>
                </w:tcPr>
                <w:p w:rsidR="002316BA" w:rsidRPr="002316BA" w:rsidRDefault="002316BA" w:rsidP="002316BA">
                  <w:pPr>
                    <w:spacing w:after="0" w:line="240" w:lineRule="auto"/>
                    <w:rPr>
                      <w:rFonts w:ascii="Times New Roman" w:eastAsia="Times New Roman" w:hAnsi="Times New Roman" w:cs="Times New Roman"/>
                      <w:sz w:val="18"/>
                      <w:szCs w:val="18"/>
                    </w:rPr>
                  </w:pPr>
                  <w:r w:rsidRPr="002316BA">
                    <w:rPr>
                      <w:rFonts w:ascii="Times New Roman" w:eastAsia="Times New Roman" w:hAnsi="Times New Roman" w:cs="Times New Roman"/>
                      <w:sz w:val="18"/>
                      <w:szCs w:val="18"/>
                    </w:rPr>
                    <w:t xml:space="preserve">Rapport des commissaires aux comptes (sociétés par actions) </w:t>
                  </w:r>
                </w:p>
              </w:tc>
            </w:tr>
            <w:tr w:rsidR="002316BA" w:rsidRPr="002316BA" w:rsidTr="002316BA">
              <w:trPr>
                <w:tblCellSpacing w:w="0" w:type="dxa"/>
              </w:trPr>
              <w:tc>
                <w:tcPr>
                  <w:tcW w:w="0" w:type="auto"/>
                  <w:vAlign w:val="center"/>
                  <w:hideMark/>
                </w:tcPr>
                <w:p w:rsidR="002316BA" w:rsidRPr="002316BA" w:rsidRDefault="002316BA" w:rsidP="002316BA">
                  <w:pPr>
                    <w:spacing w:after="0" w:line="240" w:lineRule="auto"/>
                    <w:rPr>
                      <w:rFonts w:ascii="Times New Roman" w:eastAsia="Times New Roman" w:hAnsi="Times New Roman" w:cs="Times New Roman"/>
                      <w:sz w:val="18"/>
                      <w:szCs w:val="18"/>
                    </w:rPr>
                  </w:pPr>
                  <w:r w:rsidRPr="002316BA">
                    <w:rPr>
                      <w:rFonts w:ascii="Times New Roman" w:eastAsia="Times New Roman" w:hAnsi="Times New Roman" w:cs="Times New Roman"/>
                      <w:sz w:val="18"/>
                      <w:szCs w:val="18"/>
                    </w:rPr>
                    <w:t xml:space="preserve">Tarif </w:t>
                  </w:r>
                </w:p>
              </w:tc>
            </w:tr>
            <w:tr w:rsidR="002316BA" w:rsidRPr="002316BA" w:rsidTr="002316BA">
              <w:trPr>
                <w:tblCellSpacing w:w="0" w:type="dxa"/>
              </w:trPr>
              <w:tc>
                <w:tcPr>
                  <w:tcW w:w="0" w:type="auto"/>
                  <w:vAlign w:val="center"/>
                  <w:hideMark/>
                </w:tcPr>
                <w:p w:rsidR="002316BA" w:rsidRPr="002316BA" w:rsidRDefault="002316BA" w:rsidP="002316BA">
                  <w:pPr>
                    <w:spacing w:after="0" w:line="240" w:lineRule="auto"/>
                    <w:rPr>
                      <w:rFonts w:ascii="Times New Roman" w:eastAsia="Times New Roman" w:hAnsi="Times New Roman" w:cs="Times New Roman"/>
                      <w:sz w:val="18"/>
                      <w:szCs w:val="18"/>
                    </w:rPr>
                  </w:pPr>
                  <w:r w:rsidRPr="002316BA">
                    <w:rPr>
                      <w:rFonts w:ascii="Times New Roman" w:eastAsia="Times New Roman" w:hAnsi="Times New Roman" w:cs="Times New Roman"/>
                      <w:sz w:val="18"/>
                      <w:szCs w:val="18"/>
                    </w:rPr>
                    <w:t xml:space="preserve">Valeur juridique </w:t>
                  </w:r>
                </w:p>
              </w:tc>
            </w:tr>
          </w:tbl>
          <w:p w:rsidR="00585B67" w:rsidRPr="00BD3277" w:rsidRDefault="00585B67" w:rsidP="00BD3277">
            <w:pPr>
              <w:jc w:val="both"/>
              <w:rPr>
                <w:rFonts w:ascii="Calibri" w:eastAsia="Times New Roman" w:hAnsi="Calibri" w:cs="Times New Roman"/>
                <w:b/>
                <w:bCs/>
                <w:sz w:val="18"/>
                <w:szCs w:val="18"/>
              </w:rPr>
            </w:pPr>
          </w:p>
          <w:p w:rsidR="00BD3277" w:rsidRDefault="002316BA" w:rsidP="00BD3277">
            <w:pPr>
              <w:jc w:val="both"/>
              <w:rPr>
                <w:rFonts w:ascii="Verdana" w:hAnsi="Verdana"/>
                <w:color w:val="3E5872"/>
                <w:sz w:val="18"/>
                <w:szCs w:val="18"/>
              </w:rPr>
            </w:pPr>
            <w:r w:rsidRPr="00BD3277">
              <w:rPr>
                <w:rFonts w:ascii="Verdana" w:hAnsi="Verdana"/>
                <w:color w:val="3E5872"/>
                <w:sz w:val="18"/>
                <w:szCs w:val="18"/>
              </w:rPr>
              <w:t xml:space="preserve">La Banque centrale du Japon a décidé d’élargir son programme de </w:t>
            </w:r>
            <w:hyperlink r:id="rId6" w:tooltip="Le souscripteur à un contrat d'assurance a besoin de liquidités ou il souhaite récupérer son épargne de manière anticipée en..." w:history="1">
              <w:r w:rsidRPr="00BD3277">
                <w:rPr>
                  <w:rFonts w:ascii="Verdana" w:hAnsi="Verdana"/>
                  <w:b/>
                  <w:bCs/>
                  <w:color w:val="3E5872"/>
                  <w:sz w:val="18"/>
                  <w:szCs w:val="18"/>
                  <w:u w:val="single"/>
                </w:rPr>
                <w:t>rachat</w:t>
              </w:r>
            </w:hyperlink>
            <w:r w:rsidRPr="00BD3277">
              <w:rPr>
                <w:rFonts w:ascii="Verdana" w:hAnsi="Verdana"/>
                <w:color w:val="3E5872"/>
                <w:sz w:val="18"/>
                <w:szCs w:val="18"/>
              </w:rPr>
              <w:t xml:space="preserve"> des titres sur les marchés de 10 000 milliards de yens. </w:t>
            </w:r>
          </w:p>
          <w:p w:rsidR="002316BA" w:rsidRPr="00BD3277" w:rsidRDefault="002316BA" w:rsidP="00BD3277">
            <w:pPr>
              <w:jc w:val="both"/>
              <w:rPr>
                <w:rFonts w:ascii="Calibri" w:eastAsia="Times New Roman" w:hAnsi="Calibri" w:cs="Times New Roman"/>
                <w:b/>
                <w:bCs/>
                <w:sz w:val="18"/>
                <w:szCs w:val="18"/>
              </w:rPr>
            </w:pPr>
            <w:r w:rsidRPr="00BD3277">
              <w:rPr>
                <w:rFonts w:ascii="Verdana" w:hAnsi="Verdana"/>
                <w:color w:val="3E5872"/>
                <w:sz w:val="18"/>
                <w:szCs w:val="18"/>
              </w:rPr>
              <w:t xml:space="preserve">Une décision quelque peu décevante qui a poussé les traders à prendre leurs profits sur les récents paris faits contre le yen. Le cours du dollar a reculé de 0,5% contre le yen à 83,96. Au cours des cinq dernières semaines le dollar avait progressé de plus de 6% contre le yen. Cette évolution baissière devrait cependant être limitée. Les perspectives vont dans le sens d’un allègement supplémentaire de la politique monétaire de la Banque centrale du Japon l’année prochaine. Sous la pression du pouvoir exécutif, l’institution monétaire pourrait non seulement décider d’agrandir son programme de </w:t>
            </w:r>
            <w:hyperlink r:id="rId7" w:tooltip="Le souscripteur à un contrat d'assurance a besoin de liquidités ou il souhaite récupérer son épargne de manière anticipée en..." w:history="1">
              <w:r w:rsidRPr="00BD3277">
                <w:rPr>
                  <w:rFonts w:ascii="Verdana" w:hAnsi="Verdana"/>
                  <w:b/>
                  <w:bCs/>
                  <w:color w:val="3E5872"/>
                  <w:sz w:val="18"/>
                  <w:szCs w:val="18"/>
                  <w:u w:val="single"/>
                </w:rPr>
                <w:t>rachat</w:t>
              </w:r>
            </w:hyperlink>
            <w:r w:rsidRPr="00BD3277">
              <w:rPr>
                <w:rFonts w:ascii="Verdana" w:hAnsi="Verdana"/>
                <w:color w:val="3E5872"/>
                <w:sz w:val="18"/>
                <w:szCs w:val="18"/>
              </w:rPr>
              <w:t xml:space="preserve"> mais également opter pour la fixation d’un objectif d’inflation plus élevé. Certains analystes vont jusqu’à tabler sur un fléchissement de la parité dollar yen à 86 dans les 12 mois à venir. A noter que l’euro a également perdu de sa valeur contre le yen. La parité euro yen a abandonné 0,5%, à 111,09.</w:t>
            </w:r>
          </w:p>
          <w:p w:rsidR="00585B67" w:rsidRPr="002316BA" w:rsidRDefault="00585B67" w:rsidP="00F24DDD">
            <w:pPr>
              <w:pStyle w:val="Textoindependiente"/>
              <w:rPr>
                <w:sz w:val="18"/>
                <w:szCs w:val="18"/>
              </w:rPr>
            </w:pPr>
          </w:p>
        </w:tc>
        <w:tc>
          <w:tcPr>
            <w:tcW w:w="4322" w:type="dxa"/>
          </w:tcPr>
          <w:p w:rsidR="00585B67" w:rsidRPr="002316BA" w:rsidRDefault="00585B67">
            <w:pPr>
              <w:rPr>
                <w:sz w:val="18"/>
                <w:szCs w:val="18"/>
              </w:rPr>
            </w:pPr>
          </w:p>
        </w:tc>
      </w:tr>
    </w:tbl>
    <w:p w:rsidR="00BB286B" w:rsidRDefault="00BB286B"/>
    <w:sectPr w:rsidR="00BB286B" w:rsidSect="00BB286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B10FF"/>
    <w:multiLevelType w:val="hybridMultilevel"/>
    <w:tmpl w:val="53C66210"/>
    <w:lvl w:ilvl="0" w:tplc="DC706CCC">
      <w:start w:val="1"/>
      <w:numFmt w:val="decimal"/>
      <w:lvlText w:val="%1."/>
      <w:lvlJc w:val="left"/>
      <w:pPr>
        <w:tabs>
          <w:tab w:val="num" w:pos="780"/>
        </w:tabs>
        <w:ind w:left="780" w:hanging="375"/>
      </w:pPr>
      <w:rPr>
        <w:rFonts w:hint="default"/>
      </w:rPr>
    </w:lvl>
    <w:lvl w:ilvl="1" w:tplc="0C0A0019">
      <w:start w:val="1"/>
      <w:numFmt w:val="lowerLetter"/>
      <w:lvlText w:val="%2."/>
      <w:lvlJc w:val="left"/>
      <w:pPr>
        <w:tabs>
          <w:tab w:val="num" w:pos="1485"/>
        </w:tabs>
        <w:ind w:left="1485" w:hanging="360"/>
      </w:pPr>
    </w:lvl>
    <w:lvl w:ilvl="2" w:tplc="0C0A001B" w:tentative="1">
      <w:start w:val="1"/>
      <w:numFmt w:val="lowerRoman"/>
      <w:lvlText w:val="%3."/>
      <w:lvlJc w:val="right"/>
      <w:pPr>
        <w:tabs>
          <w:tab w:val="num" w:pos="2205"/>
        </w:tabs>
        <w:ind w:left="2205" w:hanging="180"/>
      </w:pPr>
    </w:lvl>
    <w:lvl w:ilvl="3" w:tplc="0C0A000F" w:tentative="1">
      <w:start w:val="1"/>
      <w:numFmt w:val="decimal"/>
      <w:lvlText w:val="%4."/>
      <w:lvlJc w:val="left"/>
      <w:pPr>
        <w:tabs>
          <w:tab w:val="num" w:pos="2925"/>
        </w:tabs>
        <w:ind w:left="2925" w:hanging="360"/>
      </w:pPr>
    </w:lvl>
    <w:lvl w:ilvl="4" w:tplc="0C0A0019" w:tentative="1">
      <w:start w:val="1"/>
      <w:numFmt w:val="lowerLetter"/>
      <w:lvlText w:val="%5."/>
      <w:lvlJc w:val="left"/>
      <w:pPr>
        <w:tabs>
          <w:tab w:val="num" w:pos="3645"/>
        </w:tabs>
        <w:ind w:left="3645" w:hanging="360"/>
      </w:pPr>
    </w:lvl>
    <w:lvl w:ilvl="5" w:tplc="0C0A001B" w:tentative="1">
      <w:start w:val="1"/>
      <w:numFmt w:val="lowerRoman"/>
      <w:lvlText w:val="%6."/>
      <w:lvlJc w:val="right"/>
      <w:pPr>
        <w:tabs>
          <w:tab w:val="num" w:pos="4365"/>
        </w:tabs>
        <w:ind w:left="4365" w:hanging="180"/>
      </w:pPr>
    </w:lvl>
    <w:lvl w:ilvl="6" w:tplc="0C0A000F" w:tentative="1">
      <w:start w:val="1"/>
      <w:numFmt w:val="decimal"/>
      <w:lvlText w:val="%7."/>
      <w:lvlJc w:val="left"/>
      <w:pPr>
        <w:tabs>
          <w:tab w:val="num" w:pos="5085"/>
        </w:tabs>
        <w:ind w:left="5085" w:hanging="360"/>
      </w:pPr>
    </w:lvl>
    <w:lvl w:ilvl="7" w:tplc="0C0A0019" w:tentative="1">
      <w:start w:val="1"/>
      <w:numFmt w:val="lowerLetter"/>
      <w:lvlText w:val="%8."/>
      <w:lvlJc w:val="left"/>
      <w:pPr>
        <w:tabs>
          <w:tab w:val="num" w:pos="5805"/>
        </w:tabs>
        <w:ind w:left="5805" w:hanging="360"/>
      </w:pPr>
    </w:lvl>
    <w:lvl w:ilvl="8" w:tplc="0C0A001B" w:tentative="1">
      <w:start w:val="1"/>
      <w:numFmt w:val="lowerRoman"/>
      <w:lvlText w:val="%9."/>
      <w:lvlJc w:val="right"/>
      <w:pPr>
        <w:tabs>
          <w:tab w:val="num" w:pos="6525"/>
        </w:tabs>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useFELayout/>
    <w:compatSetting w:name="compatibilityMode" w:uri="http://schemas.microsoft.com/office/word" w:val="12"/>
  </w:compat>
  <w:rsids>
    <w:rsidRoot w:val="00206683"/>
    <w:rsid w:val="00054A33"/>
    <w:rsid w:val="001C11BE"/>
    <w:rsid w:val="001D1730"/>
    <w:rsid w:val="001E5598"/>
    <w:rsid w:val="00206683"/>
    <w:rsid w:val="002316BA"/>
    <w:rsid w:val="002E1F7F"/>
    <w:rsid w:val="00571F89"/>
    <w:rsid w:val="00585B67"/>
    <w:rsid w:val="007848B8"/>
    <w:rsid w:val="00A35CF1"/>
    <w:rsid w:val="00BB286B"/>
    <w:rsid w:val="00BD3277"/>
    <w:rsid w:val="00DA527A"/>
    <w:rsid w:val="00DB5855"/>
    <w:rsid w:val="00E34949"/>
    <w:rsid w:val="00E84B6C"/>
    <w:rsid w:val="00F24DDD"/>
    <w:rsid w:val="00F413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86B"/>
  </w:style>
  <w:style w:type="paragraph" w:styleId="Ttulo1">
    <w:name w:val="heading 1"/>
    <w:basedOn w:val="Normal"/>
    <w:link w:val="Ttulo1Car"/>
    <w:qFormat/>
    <w:rsid w:val="00054A33"/>
    <w:pPr>
      <w:shd w:val="clear" w:color="auto" w:fill="749DD5"/>
      <w:spacing w:before="100" w:beforeAutospacing="1" w:after="0" w:line="240" w:lineRule="auto"/>
      <w:jc w:val="both"/>
      <w:outlineLvl w:val="0"/>
    </w:pPr>
    <w:rPr>
      <w:rFonts w:ascii="Verdana" w:eastAsia="Arial Unicode MS" w:hAnsi="Verdana" w:cs="Arial Unicode MS"/>
      <w:b/>
      <w:bCs/>
      <w:color w:val="FFFFFF"/>
      <w:kern w:val="36"/>
      <w:sz w:val="20"/>
      <w:szCs w:val="20"/>
    </w:rPr>
  </w:style>
  <w:style w:type="paragraph" w:styleId="Ttulo2">
    <w:name w:val="heading 2"/>
    <w:basedOn w:val="Normal"/>
    <w:next w:val="Normal"/>
    <w:link w:val="Ttulo2Car"/>
    <w:qFormat/>
    <w:rsid w:val="00054A33"/>
    <w:pPr>
      <w:keepNext/>
      <w:widowControl w:val="0"/>
      <w:spacing w:before="240" w:after="60" w:line="240" w:lineRule="auto"/>
      <w:jc w:val="both"/>
      <w:outlineLvl w:val="1"/>
    </w:pPr>
    <w:rPr>
      <w:rFonts w:ascii="Arial" w:eastAsia="Times New Roman" w:hAnsi="Arial" w:cs="Arial"/>
      <w:b/>
      <w:bCs/>
      <w:i/>
      <w:iCs/>
      <w:snapToGrid w:val="0"/>
      <w:szCs w:val="28"/>
    </w:rPr>
  </w:style>
  <w:style w:type="paragraph" w:styleId="Ttulo3">
    <w:name w:val="heading 3"/>
    <w:basedOn w:val="Normal"/>
    <w:next w:val="Normal"/>
    <w:link w:val="Ttulo3Car"/>
    <w:qFormat/>
    <w:rsid w:val="00054A33"/>
    <w:pPr>
      <w:keepNext/>
      <w:widowControl w:val="0"/>
      <w:spacing w:after="0" w:line="240" w:lineRule="auto"/>
      <w:jc w:val="both"/>
      <w:outlineLvl w:val="2"/>
    </w:pPr>
    <w:rPr>
      <w:rFonts w:ascii="Times New Roman" w:eastAsia="Times New Roman" w:hAnsi="Times New Roman" w:cs="Times New Roman"/>
      <w:b/>
      <w:bCs/>
      <w:snapToGrid w:val="0"/>
      <w:szCs w:val="20"/>
      <w:u w:val="single"/>
    </w:rPr>
  </w:style>
  <w:style w:type="paragraph" w:styleId="Ttulo4">
    <w:name w:val="heading 4"/>
    <w:basedOn w:val="Normal"/>
    <w:next w:val="Normal"/>
    <w:link w:val="Ttulo4Car"/>
    <w:qFormat/>
    <w:rsid w:val="00054A33"/>
    <w:pPr>
      <w:keepNext/>
      <w:spacing w:after="0" w:line="240" w:lineRule="auto"/>
      <w:outlineLvl w:val="3"/>
    </w:pPr>
    <w:rPr>
      <w:rFonts w:ascii="Times New Roman" w:eastAsia="Times New Roman" w:hAnsi="Times New Roman" w:cs="Times New Roman"/>
      <w:b/>
      <w:bCs/>
      <w:sz w:val="16"/>
      <w:szCs w:val="24"/>
    </w:rPr>
  </w:style>
  <w:style w:type="paragraph" w:styleId="Ttulo5">
    <w:name w:val="heading 5"/>
    <w:basedOn w:val="Normal"/>
    <w:next w:val="Normal"/>
    <w:link w:val="Ttulo5Car"/>
    <w:qFormat/>
    <w:rsid w:val="00054A33"/>
    <w:pPr>
      <w:keepNext/>
      <w:widowControl w:val="0"/>
      <w:spacing w:after="0" w:line="240" w:lineRule="auto"/>
      <w:jc w:val="both"/>
      <w:outlineLvl w:val="4"/>
    </w:pPr>
    <w:rPr>
      <w:rFonts w:ascii="Times New Roman" w:eastAsia="Times New Roman" w:hAnsi="Times New Roman" w:cs="Times New Roman"/>
      <w:b/>
      <w:bCs/>
      <w:snapToGrid w:val="0"/>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066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ar">
    <w:name w:val="Título 1 Car"/>
    <w:basedOn w:val="Fuentedeprrafopredeter"/>
    <w:link w:val="Ttulo1"/>
    <w:rsid w:val="00054A33"/>
    <w:rPr>
      <w:rFonts w:ascii="Verdana" w:eastAsia="Arial Unicode MS" w:hAnsi="Verdana" w:cs="Arial Unicode MS"/>
      <w:b/>
      <w:bCs/>
      <w:color w:val="FFFFFF"/>
      <w:kern w:val="36"/>
      <w:sz w:val="20"/>
      <w:szCs w:val="20"/>
      <w:shd w:val="clear" w:color="auto" w:fill="749DD5"/>
    </w:rPr>
  </w:style>
  <w:style w:type="character" w:customStyle="1" w:styleId="Ttulo2Car">
    <w:name w:val="Título 2 Car"/>
    <w:basedOn w:val="Fuentedeprrafopredeter"/>
    <w:link w:val="Ttulo2"/>
    <w:rsid w:val="00054A33"/>
    <w:rPr>
      <w:rFonts w:ascii="Arial" w:eastAsia="Times New Roman" w:hAnsi="Arial" w:cs="Arial"/>
      <w:b/>
      <w:bCs/>
      <w:i/>
      <w:iCs/>
      <w:snapToGrid w:val="0"/>
      <w:szCs w:val="28"/>
    </w:rPr>
  </w:style>
  <w:style w:type="character" w:customStyle="1" w:styleId="Ttulo3Car">
    <w:name w:val="Título 3 Car"/>
    <w:basedOn w:val="Fuentedeprrafopredeter"/>
    <w:link w:val="Ttulo3"/>
    <w:rsid w:val="00054A33"/>
    <w:rPr>
      <w:rFonts w:ascii="Times New Roman" w:eastAsia="Times New Roman" w:hAnsi="Times New Roman" w:cs="Times New Roman"/>
      <w:b/>
      <w:bCs/>
      <w:snapToGrid w:val="0"/>
      <w:szCs w:val="20"/>
      <w:u w:val="single"/>
    </w:rPr>
  </w:style>
  <w:style w:type="character" w:customStyle="1" w:styleId="Ttulo4Car">
    <w:name w:val="Título 4 Car"/>
    <w:basedOn w:val="Fuentedeprrafopredeter"/>
    <w:link w:val="Ttulo4"/>
    <w:rsid w:val="00054A33"/>
    <w:rPr>
      <w:rFonts w:ascii="Times New Roman" w:eastAsia="Times New Roman" w:hAnsi="Times New Roman" w:cs="Times New Roman"/>
      <w:b/>
      <w:bCs/>
      <w:sz w:val="16"/>
      <w:szCs w:val="24"/>
    </w:rPr>
  </w:style>
  <w:style w:type="character" w:customStyle="1" w:styleId="Ttulo5Car">
    <w:name w:val="Título 5 Car"/>
    <w:basedOn w:val="Fuentedeprrafopredeter"/>
    <w:link w:val="Ttulo5"/>
    <w:rsid w:val="00054A33"/>
    <w:rPr>
      <w:rFonts w:ascii="Times New Roman" w:eastAsia="Times New Roman" w:hAnsi="Times New Roman" w:cs="Times New Roman"/>
      <w:b/>
      <w:bCs/>
      <w:snapToGrid w:val="0"/>
      <w:sz w:val="18"/>
      <w:szCs w:val="20"/>
    </w:rPr>
  </w:style>
  <w:style w:type="paragraph" w:styleId="Textoindependiente">
    <w:name w:val="Body Text"/>
    <w:basedOn w:val="Normal"/>
    <w:link w:val="TextoindependienteCar"/>
    <w:rsid w:val="00054A33"/>
    <w:pPr>
      <w:widowControl w:val="0"/>
      <w:spacing w:after="0" w:line="240" w:lineRule="auto"/>
      <w:jc w:val="both"/>
    </w:pPr>
    <w:rPr>
      <w:rFonts w:ascii="Times New Roman" w:eastAsia="Times New Roman" w:hAnsi="Times New Roman" w:cs="Times New Roman"/>
      <w:i/>
      <w:iCs/>
      <w:snapToGrid w:val="0"/>
      <w:szCs w:val="20"/>
    </w:rPr>
  </w:style>
  <w:style w:type="character" w:customStyle="1" w:styleId="TextoindependienteCar">
    <w:name w:val="Texto independiente Car"/>
    <w:basedOn w:val="Fuentedeprrafopredeter"/>
    <w:link w:val="Textoindependiente"/>
    <w:rsid w:val="00054A33"/>
    <w:rPr>
      <w:rFonts w:ascii="Times New Roman" w:eastAsia="Times New Roman" w:hAnsi="Times New Roman" w:cs="Times New Roman"/>
      <w:i/>
      <w:iCs/>
      <w:snapToGrid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8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asybourse.com/bourse/pedagogie/lexique/rachat-4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sybourse.com/bourse/pedagogie/lexique/rachat-43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295</Words>
  <Characters>1626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Virginia</cp:lastModifiedBy>
  <cp:revision>16</cp:revision>
  <dcterms:created xsi:type="dcterms:W3CDTF">2014-04-22T10:24:00Z</dcterms:created>
  <dcterms:modified xsi:type="dcterms:W3CDTF">2015-04-28T08:35:00Z</dcterms:modified>
</cp:coreProperties>
</file>